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19593" w14:textId="77777777" w:rsidR="001D63AC" w:rsidRPr="00F20141" w:rsidRDefault="001D63AC">
      <w:pPr>
        <w:spacing w:line="20" w:lineRule="exact"/>
        <w:rPr>
          <w:rFonts w:ascii="Tw Cen MT" w:hAnsi="Tw Cen MT"/>
          <w:sz w:val="2"/>
        </w:rPr>
      </w:pPr>
    </w:p>
    <w:tbl>
      <w:tblPr>
        <w:tblW w:w="0" w:type="auto"/>
        <w:tblInd w:w="20" w:type="dxa"/>
        <w:tblBorders>
          <w:top w:val="single" w:sz="8" w:space="0" w:color="000000"/>
        </w:tblBorders>
        <w:tblLayout w:type="fixed"/>
        <w:tblLook w:val="04A0" w:firstRow="1" w:lastRow="0" w:firstColumn="1" w:lastColumn="0" w:noHBand="0" w:noVBand="1"/>
      </w:tblPr>
      <w:tblGrid>
        <w:gridCol w:w="20"/>
      </w:tblGrid>
      <w:tr w:rsidR="001D63AC" w:rsidRPr="00F20141" w14:paraId="0CB5EDFF" w14:textId="77777777">
        <w:trPr>
          <w:trHeight w:hRule="exact" w:val="20"/>
        </w:trPr>
        <w:tc>
          <w:tcPr>
            <w:tcW w:w="20" w:type="dxa"/>
            <w:tcBorders>
              <w:top w:val="single" w:sz="8" w:space="0" w:color="000000"/>
            </w:tcBorders>
            <w:tcMar>
              <w:top w:w="0" w:type="dxa"/>
              <w:left w:w="0" w:type="dxa"/>
              <w:bottom w:w="0" w:type="dxa"/>
              <w:right w:w="0" w:type="dxa"/>
            </w:tcMar>
          </w:tcPr>
          <w:p w14:paraId="42B3F474" w14:textId="77777777" w:rsidR="001D63AC" w:rsidRPr="00F20141" w:rsidRDefault="001D63AC">
            <w:pPr>
              <w:spacing w:line="20" w:lineRule="exact"/>
              <w:rPr>
                <w:rFonts w:ascii="Tw Cen MT" w:hAnsi="Tw Cen MT"/>
                <w:sz w:val="2"/>
              </w:rPr>
            </w:pPr>
          </w:p>
        </w:tc>
      </w:tr>
    </w:tbl>
    <w:p w14:paraId="3A77F9AC" w14:textId="77777777" w:rsidR="001D63AC" w:rsidRPr="00F20141" w:rsidRDefault="00620420" w:rsidP="00045642">
      <w:pPr>
        <w:ind w:left="40" w:right="9600"/>
        <w:rPr>
          <w:rFonts w:ascii="Tw Cen MT" w:hAnsi="Tw Cen MT"/>
          <w:sz w:val="2"/>
        </w:rPr>
      </w:pPr>
      <w:r w:rsidRPr="00F20141">
        <w:rPr>
          <w:rFonts w:ascii="Tw Cen MT" w:hAnsi="Tw Cen MT"/>
          <w:noProof/>
          <w:lang w:val="fr-FR"/>
        </w:rPr>
        <mc:AlternateContent>
          <mc:Choice Requires="wps">
            <w:drawing>
              <wp:inline distT="0" distB="0" distL="0" distR="0" wp14:anchorId="6F2440ED" wp14:editId="5CDBBD2E">
                <wp:extent cx="9525" cy="9525"/>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
            <w:pict>
              <v:rect w14:anchorId="663407D2"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" filled="f" stroked="f">
                <o:lock v:ext="edit" aspectratio="t"/>
                <w10:anchorlock/>
              </v:rect>
            </w:pict>
          </mc:Fallback>
        </mc:AlternateContent>
      </w:r>
    </w:p>
    <w:p w14:paraId="27B21181" w14:textId="77777777" w:rsidR="001D63AC" w:rsidRPr="00755E57" w:rsidRDefault="001D63AC" w:rsidP="00B8096A">
      <w:pPr>
        <w:jc w:val="center"/>
        <w:rPr>
          <w:rFonts w:ascii="Tw Cen MT" w:hAnsi="Tw Cen MT"/>
        </w:rPr>
      </w:pPr>
    </w:p>
    <w:p w14:paraId="7556496B" w14:textId="77777777" w:rsidR="001D63AC" w:rsidRPr="00F20141" w:rsidRDefault="001D63AC" w:rsidP="00B8096A">
      <w:pPr>
        <w:jc w:val="both"/>
        <w:rPr>
          <w:rFonts w:ascii="Tw Cen MT" w:hAnsi="Tw Cen MT"/>
        </w:rPr>
      </w:pPr>
    </w:p>
    <w:p w14:paraId="0A4B799F" w14:textId="77777777" w:rsidR="001D63AC" w:rsidRPr="00F20141" w:rsidRDefault="001D63AC" w:rsidP="00121A3A">
      <w:pPr>
        <w:jc w:val="center"/>
        <w:rPr>
          <w:rFonts w:ascii="Tw Cen MT" w:hAnsi="Tw Cen MT"/>
        </w:rPr>
      </w:pPr>
    </w:p>
    <w:p w14:paraId="0C858409" w14:textId="77777777" w:rsidR="008F3D8B" w:rsidRPr="00F20141" w:rsidRDefault="008F3D8B" w:rsidP="00B8096A">
      <w:pPr>
        <w:jc w:val="both"/>
        <w:rPr>
          <w:rFonts w:ascii="Tw Cen MT" w:hAnsi="Tw Cen MT"/>
        </w:rPr>
      </w:pPr>
    </w:p>
    <w:p w14:paraId="7926F461" w14:textId="77777777" w:rsidR="008F3D8B" w:rsidRPr="00F20141" w:rsidRDefault="008F3D8B" w:rsidP="00B8096A">
      <w:pPr>
        <w:jc w:val="both"/>
        <w:rPr>
          <w:rFonts w:ascii="Tw Cen MT" w:hAnsi="Tw Cen MT"/>
        </w:rPr>
      </w:pPr>
    </w:p>
    <w:p w14:paraId="667A2665" w14:textId="77777777" w:rsidR="00114DA1" w:rsidRPr="00F20141" w:rsidRDefault="0073004C" w:rsidP="008F3D8B">
      <w:pPr>
        <w:pBdr>
          <w:top w:val="single" w:sz="4" w:space="1" w:color="auto"/>
          <w:left w:val="single" w:sz="4" w:space="4" w:color="auto"/>
          <w:bottom w:val="single" w:sz="4" w:space="0" w:color="auto"/>
          <w:right w:val="single" w:sz="4" w:space="4" w:color="auto"/>
        </w:pBdr>
        <w:ind w:left="40" w:right="20"/>
        <w:jc w:val="center"/>
        <w:rPr>
          <w:rFonts w:ascii="Tw Cen MT" w:eastAsia="Trebuchet MS" w:hAnsi="Tw Cen MT" w:cs="Trebuchet MS"/>
          <w:b/>
          <w:sz w:val="28"/>
          <w:szCs w:val="28"/>
        </w:rPr>
      </w:pPr>
      <w:r w:rsidRPr="00F20141">
        <w:rPr>
          <w:rFonts w:ascii="Tw Cen MT" w:hAnsi="Tw Cen MT"/>
          <w:b/>
          <w:color w:val="000000"/>
          <w:sz w:val="36"/>
        </w:rPr>
        <w:t>TECHNICAL SPECIFICATIONS – TERMS OF REFERENCE INTELLECTUAL SERVICES</w:t>
      </w:r>
    </w:p>
    <w:p w14:paraId="771FE5F3" w14:textId="77777777" w:rsidR="001D63AC" w:rsidRPr="00F20141" w:rsidRDefault="001D63AC" w:rsidP="00B8096A">
      <w:pPr>
        <w:jc w:val="center"/>
        <w:rPr>
          <w:rFonts w:ascii="Tw Cen MT" w:hAnsi="Tw Cen MT"/>
        </w:rPr>
      </w:pPr>
    </w:p>
    <w:p w14:paraId="1DC5A5BF" w14:textId="77777777" w:rsidR="001D63AC" w:rsidRPr="00F20141" w:rsidRDefault="001D63AC" w:rsidP="00B8096A">
      <w:pPr>
        <w:jc w:val="center"/>
        <w:rPr>
          <w:rFonts w:ascii="Tw Cen MT" w:hAnsi="Tw Cen MT"/>
        </w:rPr>
      </w:pPr>
    </w:p>
    <w:p w14:paraId="42745DA3" w14:textId="77777777" w:rsidR="0073004C" w:rsidRPr="00F20141" w:rsidRDefault="0073004C" w:rsidP="00B8096A">
      <w:pPr>
        <w:jc w:val="center"/>
        <w:rPr>
          <w:rFonts w:ascii="Tw Cen MT" w:hAnsi="Tw Cen MT"/>
        </w:rPr>
      </w:pPr>
    </w:p>
    <w:p w14:paraId="05391A79" w14:textId="77777777" w:rsidR="0073004C" w:rsidRPr="00F20141" w:rsidRDefault="0073004C" w:rsidP="00B8096A">
      <w:pPr>
        <w:jc w:val="center"/>
        <w:rPr>
          <w:rFonts w:ascii="Tw Cen MT" w:hAnsi="Tw Cen MT"/>
        </w:rPr>
      </w:pPr>
    </w:p>
    <w:p w14:paraId="7AB948C7" w14:textId="77777777" w:rsidR="0073004C" w:rsidRPr="00F20141" w:rsidRDefault="0073004C" w:rsidP="00B8096A">
      <w:pPr>
        <w:jc w:val="center"/>
        <w:rPr>
          <w:rFonts w:ascii="Tw Cen MT" w:hAnsi="Tw Cen MT"/>
        </w:rPr>
      </w:pPr>
    </w:p>
    <w:p w14:paraId="3129FCAB" w14:textId="77777777" w:rsidR="001D63AC" w:rsidRPr="00F20141" w:rsidRDefault="001D63AC" w:rsidP="00B8096A">
      <w:pPr>
        <w:jc w:val="center"/>
        <w:rPr>
          <w:rFonts w:ascii="Tw Cen MT" w:hAnsi="Tw Cen MT"/>
          <w:sz w:val="2"/>
        </w:rPr>
      </w:pPr>
    </w:p>
    <w:p w14:paraId="32CF080F" w14:textId="77777777" w:rsidR="002B7927" w:rsidRPr="00F20141" w:rsidRDefault="002B7927" w:rsidP="008F3D8B">
      <w:pPr>
        <w:shd w:val="clear" w:color="auto" w:fill="95B3D7" w:themeFill="accent1" w:themeFillTint="99"/>
        <w:ind w:left="60"/>
        <w:jc w:val="center"/>
        <w:rPr>
          <w:rFonts w:ascii="Tw Cen MT" w:hAnsi="Tw Cen MT" w:cs="Arial"/>
          <w:b/>
          <w:sz w:val="22"/>
          <w:szCs w:val="22"/>
          <w:lang w:val="fr-FR"/>
        </w:rPr>
      </w:pPr>
      <w:r w:rsidRPr="00F20141">
        <w:rPr>
          <w:rFonts w:ascii="Tw Cen MT" w:hAnsi="Tw Cen MT"/>
          <w:b/>
          <w:sz w:val="22"/>
          <w:lang w:val="fr-FR"/>
        </w:rPr>
        <w:t>Agence Française de Développement</w:t>
      </w:r>
    </w:p>
    <w:p w14:paraId="4B74FC6B" w14:textId="77777777" w:rsidR="00730883" w:rsidRPr="00F20141" w:rsidRDefault="002B7927" w:rsidP="002E3244">
      <w:pPr>
        <w:shd w:val="clear" w:color="auto" w:fill="95B3D7" w:themeFill="accent1" w:themeFillTint="99"/>
        <w:ind w:left="60"/>
        <w:jc w:val="center"/>
        <w:rPr>
          <w:rFonts w:ascii="Tw Cen MT" w:hAnsi="Tw Cen MT" w:cs="Arial"/>
          <w:sz w:val="22"/>
          <w:szCs w:val="22"/>
          <w:lang w:val="fr-FR"/>
        </w:rPr>
      </w:pPr>
      <w:r w:rsidRPr="00F20141">
        <w:rPr>
          <w:rFonts w:ascii="Tw Cen MT" w:hAnsi="Tw Cen MT"/>
          <w:sz w:val="22"/>
          <w:lang w:val="fr-FR"/>
        </w:rPr>
        <w:t>5, rue Roland Barthes</w:t>
      </w:r>
    </w:p>
    <w:p w14:paraId="62046DF6" w14:textId="77777777" w:rsidR="002B7927" w:rsidRPr="00F20141" w:rsidRDefault="002B7927" w:rsidP="008F3D8B">
      <w:pPr>
        <w:shd w:val="clear" w:color="auto" w:fill="95B3D7" w:themeFill="accent1" w:themeFillTint="99"/>
        <w:ind w:left="60"/>
        <w:jc w:val="center"/>
        <w:rPr>
          <w:rFonts w:ascii="Tw Cen MT" w:hAnsi="Tw Cen MT" w:cs="Arial"/>
          <w:sz w:val="22"/>
          <w:szCs w:val="22"/>
          <w:lang w:val="en-US"/>
        </w:rPr>
      </w:pPr>
      <w:r w:rsidRPr="00F20141">
        <w:rPr>
          <w:rFonts w:ascii="Tw Cen MT" w:hAnsi="Tw Cen MT"/>
          <w:sz w:val="22"/>
        </w:rPr>
        <w:t xml:space="preserve">75598 Paris Cedex 12- PARIS Trade and Companies Register no. </w:t>
      </w:r>
      <w:r w:rsidRPr="00F20141">
        <w:rPr>
          <w:rFonts w:ascii="Tw Cen MT" w:hAnsi="Tw Cen MT"/>
          <w:sz w:val="22"/>
          <w:lang w:val="en-US"/>
        </w:rPr>
        <w:t>B 775 665 599</w:t>
      </w:r>
    </w:p>
    <w:p w14:paraId="5EFB4F15" w14:textId="77777777" w:rsidR="002B7927" w:rsidRPr="00F20141" w:rsidRDefault="008F3D8B" w:rsidP="008F3D8B">
      <w:pPr>
        <w:shd w:val="clear" w:color="auto" w:fill="95B3D7" w:themeFill="accent1" w:themeFillTint="99"/>
        <w:ind w:left="60"/>
        <w:jc w:val="center"/>
        <w:rPr>
          <w:rFonts w:ascii="Tw Cen MT" w:eastAsia="Trebuchet MS" w:hAnsi="Tw Cen MT" w:cs="Trebuchet MS"/>
          <w:color w:val="000000"/>
          <w:sz w:val="20"/>
          <w:lang w:val="en-US"/>
        </w:rPr>
      </w:pPr>
      <w:r w:rsidRPr="00F20141">
        <w:rPr>
          <w:rFonts w:ascii="Tw Cen MT" w:hAnsi="Tw Cen MT"/>
          <w:sz w:val="22"/>
          <w:lang w:val="en-US"/>
        </w:rPr>
        <w:t>Telephone: + 33 (0)1 53 44 31 31</w:t>
      </w:r>
    </w:p>
    <w:p w14:paraId="6A15B4DD" w14:textId="77777777" w:rsidR="001D63AC" w:rsidRPr="00F20141" w:rsidRDefault="001D63AC" w:rsidP="008F3D8B">
      <w:pPr>
        <w:ind w:left="60"/>
        <w:jc w:val="center"/>
        <w:rPr>
          <w:rFonts w:ascii="Tw Cen MT" w:eastAsia="Trebuchet MS" w:hAnsi="Tw Cen MT" w:cs="Trebuchet MS"/>
          <w:color w:val="000000"/>
          <w:sz w:val="20"/>
          <w:lang w:val="en-US"/>
        </w:rPr>
      </w:pPr>
    </w:p>
    <w:p w14:paraId="5DC87320" w14:textId="77777777" w:rsidR="0073004C" w:rsidRPr="00F20141" w:rsidRDefault="0073004C" w:rsidP="008F3D8B">
      <w:pPr>
        <w:ind w:left="60"/>
        <w:jc w:val="center"/>
        <w:rPr>
          <w:rFonts w:ascii="Tw Cen MT" w:eastAsia="Trebuchet MS" w:hAnsi="Tw Cen MT" w:cs="Trebuchet MS"/>
          <w:color w:val="000000"/>
          <w:sz w:val="20"/>
          <w:lang w:val="en-US"/>
        </w:rPr>
      </w:pPr>
    </w:p>
    <w:p w14:paraId="6DF58197" w14:textId="77777777" w:rsidR="0073004C" w:rsidRPr="00F20141" w:rsidRDefault="0073004C" w:rsidP="008F3D8B">
      <w:pPr>
        <w:ind w:left="60"/>
        <w:jc w:val="center"/>
        <w:rPr>
          <w:rFonts w:ascii="Tw Cen MT" w:eastAsia="Trebuchet MS" w:hAnsi="Tw Cen MT" w:cs="Trebuchet MS"/>
          <w:color w:val="000000"/>
          <w:sz w:val="20"/>
          <w:lang w:val="en-US"/>
        </w:rPr>
      </w:pPr>
    </w:p>
    <w:p w14:paraId="7E797E6E" w14:textId="77777777" w:rsidR="0073004C" w:rsidRPr="00F20141" w:rsidRDefault="0073004C" w:rsidP="008F3D8B">
      <w:pPr>
        <w:ind w:left="60"/>
        <w:jc w:val="center"/>
        <w:rPr>
          <w:rFonts w:ascii="Tw Cen MT" w:eastAsia="Trebuchet MS" w:hAnsi="Tw Cen MT" w:cs="Trebuchet MS"/>
          <w:color w:val="000000"/>
          <w:sz w:val="20"/>
          <w:lang w:val="en-US"/>
        </w:rPr>
      </w:pPr>
    </w:p>
    <w:p w14:paraId="15F4367A" w14:textId="77777777" w:rsidR="0073004C" w:rsidRPr="00F20141" w:rsidRDefault="0073004C" w:rsidP="008F3D8B">
      <w:pPr>
        <w:pStyle w:val="Sansinterligne"/>
        <w:jc w:val="center"/>
        <w:rPr>
          <w:rFonts w:ascii="Tw Cen MT" w:hAnsi="Tw Cen MT"/>
          <w:b/>
          <w:sz w:val="40"/>
          <w:szCs w:val="40"/>
        </w:rPr>
      </w:pPr>
      <w:r w:rsidRPr="00F20141">
        <w:rPr>
          <w:rFonts w:ascii="Tw Cen MT" w:hAnsi="Tw Cen MT"/>
          <w:b/>
          <w:sz w:val="40"/>
        </w:rPr>
        <w:t>In respect of the service</w:t>
      </w:r>
    </w:p>
    <w:p w14:paraId="54DAAB2E" w14:textId="77777777" w:rsidR="0073004C" w:rsidRPr="00F20141" w:rsidRDefault="0073004C" w:rsidP="00B8096A">
      <w:pPr>
        <w:ind w:left="60"/>
        <w:jc w:val="center"/>
        <w:rPr>
          <w:rFonts w:ascii="Tw Cen MT" w:eastAsia="Trebuchet MS" w:hAnsi="Tw Cen MT" w:cs="Trebuchet MS"/>
          <w:color w:val="000000"/>
          <w:sz w:val="20"/>
        </w:rPr>
      </w:pPr>
    </w:p>
    <w:p w14:paraId="63E5DAC7" w14:textId="77777777" w:rsidR="0073004C" w:rsidRPr="00F20141" w:rsidRDefault="0073004C" w:rsidP="00B8096A">
      <w:pPr>
        <w:ind w:left="60"/>
        <w:jc w:val="center"/>
        <w:rPr>
          <w:rFonts w:ascii="Tw Cen MT" w:eastAsia="Trebuchet MS" w:hAnsi="Tw Cen MT" w:cs="Trebuchet MS"/>
          <w:color w:val="000000"/>
          <w:sz w:val="20"/>
        </w:rPr>
      </w:pPr>
    </w:p>
    <w:p w14:paraId="0406E0AF" w14:textId="728E0D81" w:rsidR="0073004C" w:rsidRDefault="00D62EA5" w:rsidP="002104E0">
      <w:pPr>
        <w:pStyle w:val="Sansinterligne"/>
        <w:jc w:val="center"/>
        <w:rPr>
          <w:rFonts w:ascii="Trebuchet MS" w:eastAsia="Trebuchet MS" w:hAnsi="Trebuchet MS" w:cs="Trebuchet MS"/>
          <w:b/>
          <w:smallCaps/>
          <w:color w:val="000000"/>
          <w:sz w:val="36"/>
          <w:lang w:val="en-US"/>
        </w:rPr>
      </w:pPr>
      <w:r w:rsidRPr="0056079D">
        <w:rPr>
          <w:rFonts w:ascii="Trebuchet MS" w:eastAsia="Trebuchet MS" w:hAnsi="Trebuchet MS" w:cs="Trebuchet MS"/>
          <w:b/>
          <w:smallCaps/>
          <w:color w:val="000000"/>
          <w:sz w:val="36"/>
          <w:lang w:val="en-US"/>
        </w:rPr>
        <w:t>Screening of context and oppo</w:t>
      </w:r>
      <w:r>
        <w:rPr>
          <w:rFonts w:ascii="Trebuchet MS" w:eastAsia="Trebuchet MS" w:hAnsi="Trebuchet MS" w:cs="Trebuchet MS"/>
          <w:b/>
          <w:smallCaps/>
          <w:color w:val="000000"/>
          <w:sz w:val="36"/>
          <w:lang w:val="en-US"/>
        </w:rPr>
        <w:t xml:space="preserve">rtunities for AFD in </w:t>
      </w:r>
      <w:r w:rsidR="00121C27">
        <w:rPr>
          <w:rFonts w:ascii="Trebuchet MS" w:eastAsia="Trebuchet MS" w:hAnsi="Trebuchet MS" w:cs="Trebuchet MS"/>
          <w:b/>
          <w:smallCaps/>
          <w:color w:val="000000"/>
          <w:sz w:val="36"/>
          <w:lang w:val="en-US"/>
        </w:rPr>
        <w:t>Georgia</w:t>
      </w:r>
      <w:r>
        <w:rPr>
          <w:rFonts w:ascii="Trebuchet MS" w:eastAsia="Trebuchet MS" w:hAnsi="Trebuchet MS" w:cs="Trebuchet MS"/>
          <w:b/>
          <w:smallCaps/>
          <w:color w:val="000000"/>
          <w:sz w:val="36"/>
          <w:lang w:val="en-US"/>
        </w:rPr>
        <w:t xml:space="preserve"> and Armenia</w:t>
      </w:r>
      <w:r w:rsidRPr="0056079D">
        <w:rPr>
          <w:rFonts w:ascii="Trebuchet MS" w:eastAsia="Trebuchet MS" w:hAnsi="Trebuchet MS" w:cs="Trebuchet MS"/>
          <w:b/>
          <w:smallCaps/>
          <w:color w:val="000000"/>
          <w:sz w:val="36"/>
          <w:lang w:val="en-US"/>
        </w:rPr>
        <w:t xml:space="preserve"> regarding non sovereign</w:t>
      </w:r>
      <w:r>
        <w:rPr>
          <w:rFonts w:ascii="Trebuchet MS" w:eastAsia="Trebuchet MS" w:hAnsi="Trebuchet MS" w:cs="Trebuchet MS"/>
          <w:b/>
          <w:smallCaps/>
          <w:color w:val="000000"/>
          <w:sz w:val="36"/>
          <w:lang w:val="en-US"/>
        </w:rPr>
        <w:t xml:space="preserve"> sector</w:t>
      </w:r>
    </w:p>
    <w:p w14:paraId="2888AD26" w14:textId="5E423426" w:rsidR="00D62EA5" w:rsidRPr="002104E0" w:rsidRDefault="00D62EA5" w:rsidP="002104E0">
      <w:pPr>
        <w:pStyle w:val="Sansinterligne"/>
        <w:jc w:val="center"/>
        <w:rPr>
          <w:rFonts w:ascii="Tw Cen MT" w:hAnsi="Tw Cen MT"/>
          <w:sz w:val="40"/>
        </w:rPr>
      </w:pPr>
      <w:r>
        <w:rPr>
          <w:rFonts w:ascii="Trebuchet MS" w:eastAsia="Trebuchet MS" w:hAnsi="Trebuchet MS" w:cs="Trebuchet MS"/>
          <w:b/>
          <w:smallCaps/>
          <w:color w:val="000000"/>
          <w:sz w:val="36"/>
          <w:lang w:val="en-US"/>
        </w:rPr>
        <w:t>-</w:t>
      </w:r>
    </w:p>
    <w:p w14:paraId="0ADE9461" w14:textId="3B3077FE" w:rsidR="00326074" w:rsidRPr="00D62EA5" w:rsidRDefault="00326074" w:rsidP="002104E0">
      <w:pPr>
        <w:pStyle w:val="Sansinterligne"/>
        <w:jc w:val="center"/>
        <w:rPr>
          <w:rFonts w:ascii="Trebuchet MS" w:eastAsia="Trebuchet MS" w:hAnsi="Trebuchet MS" w:cs="Trebuchet MS"/>
          <w:b/>
          <w:smallCaps/>
          <w:color w:val="000000"/>
          <w:sz w:val="28"/>
          <w:lang w:val="en-US"/>
        </w:rPr>
      </w:pPr>
      <w:r w:rsidRPr="00D62EA5">
        <w:rPr>
          <w:rFonts w:ascii="Trebuchet MS" w:eastAsia="Trebuchet MS" w:hAnsi="Trebuchet MS" w:cs="Trebuchet MS"/>
          <w:b/>
          <w:smallCaps/>
          <w:color w:val="000000"/>
          <w:sz w:val="28"/>
          <w:lang w:val="en-US"/>
        </w:rPr>
        <w:t>Diagnostic of the productive sy</w:t>
      </w:r>
      <w:r w:rsidR="00D62EA5" w:rsidRPr="00D62EA5">
        <w:rPr>
          <w:rFonts w:ascii="Trebuchet MS" w:eastAsia="Trebuchet MS" w:hAnsi="Trebuchet MS" w:cs="Trebuchet MS"/>
          <w:b/>
          <w:smallCaps/>
          <w:color w:val="000000"/>
          <w:sz w:val="28"/>
          <w:lang w:val="en-US"/>
        </w:rPr>
        <w:t>stems, focusing on the SOEs, their</w:t>
      </w:r>
      <w:r w:rsidRPr="00D62EA5">
        <w:rPr>
          <w:rFonts w:ascii="Trebuchet MS" w:eastAsia="Trebuchet MS" w:hAnsi="Trebuchet MS" w:cs="Trebuchet MS"/>
          <w:b/>
          <w:smallCaps/>
          <w:color w:val="000000"/>
          <w:sz w:val="28"/>
          <w:lang w:val="en-US"/>
        </w:rPr>
        <w:t xml:space="preserve"> challenges and needs, </w:t>
      </w:r>
      <w:r w:rsidR="00D62EA5" w:rsidRPr="00D62EA5">
        <w:rPr>
          <w:rFonts w:ascii="Trebuchet MS" w:eastAsia="Trebuchet MS" w:hAnsi="Trebuchet MS" w:cs="Trebuchet MS"/>
          <w:b/>
          <w:smallCaps/>
          <w:color w:val="000000"/>
          <w:sz w:val="28"/>
          <w:lang w:val="en-US"/>
        </w:rPr>
        <w:t>as well as the</w:t>
      </w:r>
      <w:r w:rsidRPr="00D62EA5">
        <w:rPr>
          <w:rFonts w:ascii="Trebuchet MS" w:eastAsia="Trebuchet MS" w:hAnsi="Trebuchet MS" w:cs="Trebuchet MS"/>
          <w:b/>
          <w:smallCaps/>
          <w:color w:val="000000"/>
          <w:sz w:val="28"/>
          <w:lang w:val="en-US"/>
        </w:rPr>
        <w:t xml:space="preserve"> </w:t>
      </w:r>
      <w:r w:rsidR="00D62EA5" w:rsidRPr="00D62EA5">
        <w:rPr>
          <w:rFonts w:ascii="Trebuchet MS" w:eastAsia="Trebuchet MS" w:hAnsi="Trebuchet MS" w:cs="Trebuchet MS"/>
          <w:b/>
          <w:smallCaps/>
          <w:color w:val="000000"/>
          <w:sz w:val="28"/>
          <w:lang w:val="en-US"/>
        </w:rPr>
        <w:t>entrepreneurial ecosystem</w:t>
      </w:r>
    </w:p>
    <w:p w14:paraId="1BF01FDB" w14:textId="77777777" w:rsidR="001B5B2E" w:rsidRPr="00F20141" w:rsidRDefault="001B5B2E" w:rsidP="00B95636">
      <w:pPr>
        <w:ind w:left="60"/>
        <w:rPr>
          <w:rFonts w:ascii="Tw Cen MT" w:hAnsi="Tw Cen MT"/>
          <w:sz w:val="40"/>
          <w:szCs w:val="40"/>
        </w:rPr>
      </w:pPr>
    </w:p>
    <w:p w14:paraId="6602C928" w14:textId="77777777" w:rsidR="0073004C" w:rsidRPr="00F20141" w:rsidRDefault="0073004C" w:rsidP="00B8096A">
      <w:pPr>
        <w:ind w:left="60"/>
        <w:jc w:val="center"/>
        <w:rPr>
          <w:rFonts w:ascii="Tw Cen MT" w:eastAsia="Trebuchet MS" w:hAnsi="Tw Cen MT" w:cs="Trebuchet MS"/>
          <w:color w:val="000000"/>
          <w:sz w:val="20"/>
        </w:rPr>
      </w:pPr>
    </w:p>
    <w:p w14:paraId="13EBF101" w14:textId="77777777" w:rsidR="004823A5" w:rsidRPr="00F20141" w:rsidRDefault="004823A5" w:rsidP="0006125C">
      <w:pPr>
        <w:ind w:left="60"/>
        <w:jc w:val="center"/>
        <w:rPr>
          <w:rFonts w:ascii="Tw Cen MT" w:eastAsia="Trebuchet MS" w:hAnsi="Tw Cen MT" w:cs="Trebuchet MS"/>
          <w:color w:val="000000"/>
          <w:sz w:val="20"/>
        </w:rPr>
      </w:pPr>
    </w:p>
    <w:p w14:paraId="5D89754C" w14:textId="77777777" w:rsidR="0073004C" w:rsidRPr="00755E57" w:rsidRDefault="0073004C" w:rsidP="00B8096A">
      <w:pPr>
        <w:jc w:val="both"/>
        <w:rPr>
          <w:rFonts w:ascii="Tw Cen MT" w:hAnsi="Tw Cen MT" w:cs="Arial"/>
          <w:snapToGrid w:val="0"/>
          <w:sz w:val="22"/>
        </w:rPr>
      </w:pPr>
      <w:r w:rsidRPr="00F20141">
        <w:rPr>
          <w:rFonts w:ascii="Tw Cen MT" w:hAnsi="Tw Cen MT"/>
        </w:rPr>
        <w:br w:type="page"/>
      </w:r>
    </w:p>
    <w:sdt>
      <w:sdtPr>
        <w:rPr>
          <w:rFonts w:ascii="Tw Cen MT" w:hAnsi="Tw Cen MT"/>
          <w:sz w:val="52"/>
        </w:rPr>
        <w:id w:val="-131254704"/>
        <w:docPartObj>
          <w:docPartGallery w:val="Table of Contents"/>
          <w:docPartUnique/>
        </w:docPartObj>
      </w:sdtPr>
      <w:sdtEndPr>
        <w:rPr>
          <w:b/>
          <w:bCs/>
          <w:sz w:val="24"/>
        </w:rPr>
      </w:sdtEndPr>
      <w:sdtContent>
        <w:p w14:paraId="7D65DED0" w14:textId="77777777" w:rsidR="0073004C" w:rsidRPr="00784B97" w:rsidRDefault="009E1EF8" w:rsidP="009E1EF8">
          <w:pPr>
            <w:jc w:val="center"/>
            <w:rPr>
              <w:rFonts w:ascii="Tw Cen MT" w:hAnsi="Tw Cen MT"/>
              <w:b/>
              <w:sz w:val="40"/>
            </w:rPr>
          </w:pPr>
          <w:r w:rsidRPr="00755E57">
            <w:rPr>
              <w:rFonts w:ascii="Tw Cen MT" w:hAnsi="Tw Cen MT"/>
              <w:b/>
              <w:sz w:val="40"/>
            </w:rPr>
            <w:t>CONTENTS</w:t>
          </w:r>
          <w:r w:rsidR="008B43B8" w:rsidRPr="00755E57">
            <w:rPr>
              <w:rFonts w:ascii="Tw Cen MT" w:hAnsi="Tw Cen MT"/>
              <w:b/>
              <w:vanish/>
              <w:sz w:val="40"/>
            </w:rPr>
            <w:t>E</w:t>
          </w:r>
        </w:p>
        <w:p w14:paraId="4821DB95" w14:textId="77777777" w:rsidR="00C02151" w:rsidRPr="00F20141" w:rsidRDefault="00C02151" w:rsidP="00B8096A">
          <w:pPr>
            <w:jc w:val="both"/>
            <w:rPr>
              <w:rFonts w:ascii="Tw Cen MT" w:hAnsi="Tw Cen MT"/>
              <w:b/>
              <w:sz w:val="18"/>
            </w:rPr>
          </w:pPr>
        </w:p>
        <w:sdt>
          <w:sdtPr>
            <w:rPr>
              <w:rFonts w:ascii="Tw Cen MT" w:hAnsi="Tw Cen MT"/>
              <w:sz w:val="52"/>
            </w:rPr>
            <w:id w:val="-1811091736"/>
            <w:docPartObj>
              <w:docPartGallery w:val="Table of Contents"/>
              <w:docPartUnique/>
            </w:docPartObj>
          </w:sdtPr>
          <w:sdtEndPr>
            <w:rPr>
              <w:b/>
              <w:bCs/>
              <w:sz w:val="24"/>
            </w:rPr>
          </w:sdtEndPr>
          <w:sdtContent>
            <w:p w14:paraId="55F1AD15" w14:textId="77777777" w:rsidR="0073004C" w:rsidRPr="00755E57" w:rsidRDefault="0073004C" w:rsidP="0006125C">
              <w:pPr>
                <w:jc w:val="center"/>
                <w:rPr>
                  <w:rFonts w:ascii="Tw Cen MT" w:hAnsi="Tw Cen MT"/>
                  <w:b/>
                  <w:sz w:val="40"/>
                </w:rPr>
              </w:pPr>
            </w:p>
            <w:p w14:paraId="3389E32F" w14:textId="77777777" w:rsidR="00C02151" w:rsidRPr="00F20141" w:rsidRDefault="00C02151" w:rsidP="00B8096A">
              <w:pPr>
                <w:jc w:val="both"/>
                <w:rPr>
                  <w:rFonts w:ascii="Tw Cen MT" w:hAnsi="Tw Cen MT"/>
                  <w:b/>
                  <w:sz w:val="18"/>
                </w:rPr>
              </w:pPr>
            </w:p>
            <w:p w14:paraId="601A9E60" w14:textId="12D48997" w:rsidR="00232A91" w:rsidRDefault="0073004C">
              <w:pPr>
                <w:pStyle w:val="TM1"/>
                <w:rPr>
                  <w:rFonts w:asciiTheme="minorHAnsi" w:eastAsiaTheme="minorEastAsia" w:hAnsiTheme="minorHAnsi" w:cstheme="minorBidi"/>
                  <w:noProof/>
                  <w:sz w:val="22"/>
                  <w:szCs w:val="22"/>
                  <w:lang w:val="fr-FR"/>
                </w:rPr>
              </w:pPr>
              <w:r w:rsidRPr="00F20141">
                <w:rPr>
                  <w:rFonts w:ascii="Tw Cen MT" w:hAnsi="Tw Cen MT"/>
                  <w:sz w:val="18"/>
                </w:rPr>
                <w:fldChar w:fldCharType="begin"/>
              </w:r>
              <w:r w:rsidRPr="00B97DAB">
                <w:rPr>
                  <w:rFonts w:ascii="Tw Cen MT" w:hAnsi="Tw Cen MT"/>
                  <w:sz w:val="18"/>
                </w:rPr>
                <w:instrText xml:space="preserve"> TOC \o "1-3" \h \z \u </w:instrText>
              </w:r>
              <w:r w:rsidRPr="00F20141">
                <w:rPr>
                  <w:rFonts w:ascii="Tw Cen MT" w:hAnsi="Tw Cen MT"/>
                  <w:sz w:val="18"/>
                </w:rPr>
                <w:fldChar w:fldCharType="separate"/>
              </w:r>
              <w:hyperlink w:anchor="_Toc195120120" w:history="1">
                <w:r w:rsidR="00232A91" w:rsidRPr="005E3845">
                  <w:rPr>
                    <w:rStyle w:val="Lienhypertexte"/>
                    <w:rFonts w:ascii="Tw Cen MT" w:hAnsi="Tw Cen MT"/>
                    <w:noProof/>
                    <w14:scene3d>
                      <w14:camera w14:prst="orthographicFront"/>
                      <w14:lightRig w14:rig="threePt" w14:dir="t">
                        <w14:rot w14:lat="0" w14:lon="0" w14:rev="0"/>
                      </w14:lightRig>
                    </w14:scene3d>
                  </w:rPr>
                  <w:t>ARTICLE 1.</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Presentation of the entities</w:t>
                </w:r>
                <w:r w:rsidR="00232A91">
                  <w:rPr>
                    <w:noProof/>
                    <w:webHidden/>
                  </w:rPr>
                  <w:tab/>
                </w:r>
                <w:r w:rsidR="00232A91">
                  <w:rPr>
                    <w:noProof/>
                    <w:webHidden/>
                  </w:rPr>
                  <w:fldChar w:fldCharType="begin"/>
                </w:r>
                <w:r w:rsidR="00232A91">
                  <w:rPr>
                    <w:noProof/>
                    <w:webHidden/>
                  </w:rPr>
                  <w:instrText xml:space="preserve"> PAGEREF _Toc195120120 \h </w:instrText>
                </w:r>
                <w:r w:rsidR="00232A91">
                  <w:rPr>
                    <w:noProof/>
                    <w:webHidden/>
                  </w:rPr>
                </w:r>
                <w:r w:rsidR="00232A91">
                  <w:rPr>
                    <w:noProof/>
                    <w:webHidden/>
                  </w:rPr>
                  <w:fldChar w:fldCharType="separate"/>
                </w:r>
                <w:r w:rsidR="00232A91">
                  <w:rPr>
                    <w:noProof/>
                    <w:webHidden/>
                  </w:rPr>
                  <w:t>3</w:t>
                </w:r>
                <w:r w:rsidR="00232A91">
                  <w:rPr>
                    <w:noProof/>
                    <w:webHidden/>
                  </w:rPr>
                  <w:fldChar w:fldCharType="end"/>
                </w:r>
              </w:hyperlink>
            </w:p>
            <w:p w14:paraId="783AA855" w14:textId="3620596B" w:rsidR="00232A91" w:rsidRDefault="00000000">
              <w:pPr>
                <w:pStyle w:val="TM1"/>
                <w:rPr>
                  <w:rFonts w:asciiTheme="minorHAnsi" w:eastAsiaTheme="minorEastAsia" w:hAnsiTheme="minorHAnsi" w:cstheme="minorBidi"/>
                  <w:noProof/>
                  <w:sz w:val="22"/>
                  <w:szCs w:val="22"/>
                  <w:lang w:val="fr-FR"/>
                </w:rPr>
              </w:pPr>
              <w:hyperlink w:anchor="_Toc195120121" w:history="1">
                <w:r w:rsidR="00232A91" w:rsidRPr="005E3845">
                  <w:rPr>
                    <w:rStyle w:val="Lienhypertexte"/>
                    <w:rFonts w:ascii="Tw Cen MT" w:hAnsi="Tw Cen MT"/>
                    <w:noProof/>
                    <w14:scene3d>
                      <w14:camera w14:prst="orthographicFront"/>
                      <w14:lightRig w14:rig="threePt" w14:dir="t">
                        <w14:rot w14:lat="0" w14:lon="0" w14:rev="0"/>
                      </w14:lightRig>
                    </w14:scene3d>
                  </w:rPr>
                  <w:t>ARTICLE 2.</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Presentation of the Contracting Department</w:t>
                </w:r>
                <w:r w:rsidR="00232A91">
                  <w:rPr>
                    <w:noProof/>
                    <w:webHidden/>
                  </w:rPr>
                  <w:tab/>
                </w:r>
                <w:r w:rsidR="00232A91">
                  <w:rPr>
                    <w:noProof/>
                    <w:webHidden/>
                  </w:rPr>
                  <w:fldChar w:fldCharType="begin"/>
                </w:r>
                <w:r w:rsidR="00232A91">
                  <w:rPr>
                    <w:noProof/>
                    <w:webHidden/>
                  </w:rPr>
                  <w:instrText xml:space="preserve"> PAGEREF _Toc195120121 \h </w:instrText>
                </w:r>
                <w:r w:rsidR="00232A91">
                  <w:rPr>
                    <w:noProof/>
                    <w:webHidden/>
                  </w:rPr>
                </w:r>
                <w:r w:rsidR="00232A91">
                  <w:rPr>
                    <w:noProof/>
                    <w:webHidden/>
                  </w:rPr>
                  <w:fldChar w:fldCharType="separate"/>
                </w:r>
                <w:r w:rsidR="00232A91">
                  <w:rPr>
                    <w:noProof/>
                    <w:webHidden/>
                  </w:rPr>
                  <w:t>3</w:t>
                </w:r>
                <w:r w:rsidR="00232A91">
                  <w:rPr>
                    <w:noProof/>
                    <w:webHidden/>
                  </w:rPr>
                  <w:fldChar w:fldCharType="end"/>
                </w:r>
              </w:hyperlink>
            </w:p>
            <w:p w14:paraId="7D58AE73" w14:textId="717C8A24" w:rsidR="00232A91" w:rsidRDefault="00000000">
              <w:pPr>
                <w:pStyle w:val="TM1"/>
                <w:rPr>
                  <w:rFonts w:asciiTheme="minorHAnsi" w:eastAsiaTheme="minorEastAsia" w:hAnsiTheme="minorHAnsi" w:cstheme="minorBidi"/>
                  <w:noProof/>
                  <w:sz w:val="22"/>
                  <w:szCs w:val="22"/>
                  <w:lang w:val="fr-FR"/>
                </w:rPr>
              </w:pPr>
              <w:hyperlink w:anchor="_Toc195120122" w:history="1">
                <w:r w:rsidR="00232A91" w:rsidRPr="005E3845">
                  <w:rPr>
                    <w:rStyle w:val="Lienhypertexte"/>
                    <w:rFonts w:ascii="Tw Cen MT" w:hAnsi="Tw Cen MT"/>
                    <w:noProof/>
                    <w14:scene3d>
                      <w14:camera w14:prst="orthographicFront"/>
                      <w14:lightRig w14:rig="threePt" w14:dir="t">
                        <w14:rot w14:lat="0" w14:lon="0" w14:rev="0"/>
                      </w14:lightRig>
                    </w14:scene3d>
                  </w:rPr>
                  <w:t>ARTICLE 3.</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Background and goals of the work</w:t>
                </w:r>
                <w:r w:rsidR="00232A91">
                  <w:rPr>
                    <w:noProof/>
                    <w:webHidden/>
                  </w:rPr>
                  <w:tab/>
                </w:r>
                <w:r w:rsidR="00232A91">
                  <w:rPr>
                    <w:noProof/>
                    <w:webHidden/>
                  </w:rPr>
                  <w:fldChar w:fldCharType="begin"/>
                </w:r>
                <w:r w:rsidR="00232A91">
                  <w:rPr>
                    <w:noProof/>
                    <w:webHidden/>
                  </w:rPr>
                  <w:instrText xml:space="preserve"> PAGEREF _Toc195120122 \h </w:instrText>
                </w:r>
                <w:r w:rsidR="00232A91">
                  <w:rPr>
                    <w:noProof/>
                    <w:webHidden/>
                  </w:rPr>
                </w:r>
                <w:r w:rsidR="00232A91">
                  <w:rPr>
                    <w:noProof/>
                    <w:webHidden/>
                  </w:rPr>
                  <w:fldChar w:fldCharType="separate"/>
                </w:r>
                <w:r w:rsidR="00232A91">
                  <w:rPr>
                    <w:noProof/>
                    <w:webHidden/>
                  </w:rPr>
                  <w:t>4</w:t>
                </w:r>
                <w:r w:rsidR="00232A91">
                  <w:rPr>
                    <w:noProof/>
                    <w:webHidden/>
                  </w:rPr>
                  <w:fldChar w:fldCharType="end"/>
                </w:r>
              </w:hyperlink>
            </w:p>
            <w:p w14:paraId="4E296F6E" w14:textId="3CFB4C6D" w:rsidR="00232A91" w:rsidRDefault="00000000">
              <w:pPr>
                <w:pStyle w:val="TM1"/>
                <w:rPr>
                  <w:rFonts w:asciiTheme="minorHAnsi" w:eastAsiaTheme="minorEastAsia" w:hAnsiTheme="minorHAnsi" w:cstheme="minorBidi"/>
                  <w:noProof/>
                  <w:sz w:val="22"/>
                  <w:szCs w:val="22"/>
                  <w:lang w:val="fr-FR"/>
                </w:rPr>
              </w:pPr>
              <w:hyperlink w:anchor="_Toc195120123" w:history="1">
                <w:r w:rsidR="00232A91" w:rsidRPr="005E3845">
                  <w:rPr>
                    <w:rStyle w:val="Lienhypertexte"/>
                    <w:rFonts w:ascii="Tw Cen MT" w:hAnsi="Tw Cen MT"/>
                    <w:noProof/>
                    <w14:scene3d>
                      <w14:camera w14:prst="orthographicFront"/>
                      <w14:lightRig w14:rig="threePt" w14:dir="t">
                        <w14:rot w14:lat="0" w14:lon="0" w14:rev="0"/>
                      </w14:lightRig>
                    </w14:scene3d>
                  </w:rPr>
                  <w:t>ARTICLE 4.</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Purpose of the contract</w:t>
                </w:r>
                <w:r w:rsidR="00232A91">
                  <w:rPr>
                    <w:noProof/>
                    <w:webHidden/>
                  </w:rPr>
                  <w:tab/>
                </w:r>
                <w:r w:rsidR="00232A91">
                  <w:rPr>
                    <w:noProof/>
                    <w:webHidden/>
                  </w:rPr>
                  <w:fldChar w:fldCharType="begin"/>
                </w:r>
                <w:r w:rsidR="00232A91">
                  <w:rPr>
                    <w:noProof/>
                    <w:webHidden/>
                  </w:rPr>
                  <w:instrText xml:space="preserve"> PAGEREF _Toc195120123 \h </w:instrText>
                </w:r>
                <w:r w:rsidR="00232A91">
                  <w:rPr>
                    <w:noProof/>
                    <w:webHidden/>
                  </w:rPr>
                </w:r>
                <w:r w:rsidR="00232A91">
                  <w:rPr>
                    <w:noProof/>
                    <w:webHidden/>
                  </w:rPr>
                  <w:fldChar w:fldCharType="separate"/>
                </w:r>
                <w:r w:rsidR="00232A91">
                  <w:rPr>
                    <w:noProof/>
                    <w:webHidden/>
                  </w:rPr>
                  <w:t>4</w:t>
                </w:r>
                <w:r w:rsidR="00232A91">
                  <w:rPr>
                    <w:noProof/>
                    <w:webHidden/>
                  </w:rPr>
                  <w:fldChar w:fldCharType="end"/>
                </w:r>
              </w:hyperlink>
            </w:p>
            <w:p w14:paraId="26A4C054" w14:textId="63E2D19F" w:rsidR="00232A91" w:rsidRDefault="00000000">
              <w:pPr>
                <w:pStyle w:val="TM1"/>
                <w:rPr>
                  <w:rFonts w:asciiTheme="minorHAnsi" w:eastAsiaTheme="minorEastAsia" w:hAnsiTheme="minorHAnsi" w:cstheme="minorBidi"/>
                  <w:noProof/>
                  <w:sz w:val="22"/>
                  <w:szCs w:val="22"/>
                  <w:lang w:val="fr-FR"/>
                </w:rPr>
              </w:pPr>
              <w:hyperlink w:anchor="_Toc195120124" w:history="1">
                <w:r w:rsidR="00232A91" w:rsidRPr="005E3845">
                  <w:rPr>
                    <w:rStyle w:val="Lienhypertexte"/>
                    <w:rFonts w:ascii="Tw Cen MT" w:hAnsi="Tw Cen MT"/>
                    <w:noProof/>
                    <w14:scene3d>
                      <w14:camera w14:prst="orthographicFront"/>
                      <w14:lightRig w14:rig="threePt" w14:dir="t">
                        <w14:rot w14:lat="0" w14:lon="0" w14:rev="0"/>
                      </w14:lightRig>
                    </w14:scene3d>
                  </w:rPr>
                  <w:t>ARTICLE 5.</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Service expected under this tender</w:t>
                </w:r>
                <w:r w:rsidR="00232A91">
                  <w:rPr>
                    <w:noProof/>
                    <w:webHidden/>
                  </w:rPr>
                  <w:tab/>
                </w:r>
                <w:r w:rsidR="00232A91">
                  <w:rPr>
                    <w:noProof/>
                    <w:webHidden/>
                  </w:rPr>
                  <w:fldChar w:fldCharType="begin"/>
                </w:r>
                <w:r w:rsidR="00232A91">
                  <w:rPr>
                    <w:noProof/>
                    <w:webHidden/>
                  </w:rPr>
                  <w:instrText xml:space="preserve"> PAGEREF _Toc195120124 \h </w:instrText>
                </w:r>
                <w:r w:rsidR="00232A91">
                  <w:rPr>
                    <w:noProof/>
                    <w:webHidden/>
                  </w:rPr>
                </w:r>
                <w:r w:rsidR="00232A91">
                  <w:rPr>
                    <w:noProof/>
                    <w:webHidden/>
                  </w:rPr>
                  <w:fldChar w:fldCharType="separate"/>
                </w:r>
                <w:r w:rsidR="00232A91">
                  <w:rPr>
                    <w:noProof/>
                    <w:webHidden/>
                  </w:rPr>
                  <w:t>4</w:t>
                </w:r>
                <w:r w:rsidR="00232A91">
                  <w:rPr>
                    <w:noProof/>
                    <w:webHidden/>
                  </w:rPr>
                  <w:fldChar w:fldCharType="end"/>
                </w:r>
              </w:hyperlink>
            </w:p>
            <w:p w14:paraId="1973298A" w14:textId="3CA11476"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25" w:history="1">
                <w:r w:rsidR="00232A91" w:rsidRPr="005E3845">
                  <w:rPr>
                    <w:rStyle w:val="Lienhypertexte"/>
                    <w:rFonts w:ascii="Tw Cen MT" w:hAnsi="Tw Cen MT"/>
                    <w:noProof/>
                  </w:rPr>
                  <w:t>5.1</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Details of the expected service</w:t>
                </w:r>
                <w:r w:rsidR="00232A91">
                  <w:rPr>
                    <w:noProof/>
                    <w:webHidden/>
                  </w:rPr>
                  <w:tab/>
                </w:r>
                <w:r w:rsidR="00232A91">
                  <w:rPr>
                    <w:noProof/>
                    <w:webHidden/>
                  </w:rPr>
                  <w:fldChar w:fldCharType="begin"/>
                </w:r>
                <w:r w:rsidR="00232A91">
                  <w:rPr>
                    <w:noProof/>
                    <w:webHidden/>
                  </w:rPr>
                  <w:instrText xml:space="preserve"> PAGEREF _Toc195120125 \h </w:instrText>
                </w:r>
                <w:r w:rsidR="00232A91">
                  <w:rPr>
                    <w:noProof/>
                    <w:webHidden/>
                  </w:rPr>
                </w:r>
                <w:r w:rsidR="00232A91">
                  <w:rPr>
                    <w:noProof/>
                    <w:webHidden/>
                  </w:rPr>
                  <w:fldChar w:fldCharType="separate"/>
                </w:r>
                <w:r w:rsidR="00232A91">
                  <w:rPr>
                    <w:noProof/>
                    <w:webHidden/>
                  </w:rPr>
                  <w:t>4</w:t>
                </w:r>
                <w:r w:rsidR="00232A91">
                  <w:rPr>
                    <w:noProof/>
                    <w:webHidden/>
                  </w:rPr>
                  <w:fldChar w:fldCharType="end"/>
                </w:r>
              </w:hyperlink>
            </w:p>
            <w:p w14:paraId="720D507F" w14:textId="64B362A4"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26" w:history="1">
                <w:r w:rsidR="00232A91" w:rsidRPr="005E3845">
                  <w:rPr>
                    <w:rStyle w:val="Lienhypertexte"/>
                    <w:rFonts w:ascii="Tw Cen MT" w:hAnsi="Tw Cen MT"/>
                    <w:noProof/>
                  </w:rPr>
                  <w:t>5.2</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Specific procedures and requirements</w:t>
                </w:r>
                <w:r w:rsidR="00232A91">
                  <w:rPr>
                    <w:noProof/>
                    <w:webHidden/>
                  </w:rPr>
                  <w:tab/>
                </w:r>
                <w:r w:rsidR="00232A91">
                  <w:rPr>
                    <w:noProof/>
                    <w:webHidden/>
                  </w:rPr>
                  <w:fldChar w:fldCharType="begin"/>
                </w:r>
                <w:r w:rsidR="00232A91">
                  <w:rPr>
                    <w:noProof/>
                    <w:webHidden/>
                  </w:rPr>
                  <w:instrText xml:space="preserve"> PAGEREF _Toc195120126 \h </w:instrText>
                </w:r>
                <w:r w:rsidR="00232A91">
                  <w:rPr>
                    <w:noProof/>
                    <w:webHidden/>
                  </w:rPr>
                </w:r>
                <w:r w:rsidR="00232A91">
                  <w:rPr>
                    <w:noProof/>
                    <w:webHidden/>
                  </w:rPr>
                  <w:fldChar w:fldCharType="separate"/>
                </w:r>
                <w:r w:rsidR="00232A91">
                  <w:rPr>
                    <w:noProof/>
                    <w:webHidden/>
                  </w:rPr>
                  <w:t>7</w:t>
                </w:r>
                <w:r w:rsidR="00232A91">
                  <w:rPr>
                    <w:noProof/>
                    <w:webHidden/>
                  </w:rPr>
                  <w:fldChar w:fldCharType="end"/>
                </w:r>
              </w:hyperlink>
            </w:p>
            <w:p w14:paraId="03D60F47" w14:textId="3E649C64"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27" w:history="1">
                <w:r w:rsidR="00232A91" w:rsidRPr="005E3845">
                  <w:rPr>
                    <w:rStyle w:val="Lienhypertexte"/>
                    <w:rFonts w:ascii="Tw Cen MT" w:hAnsi="Tw Cen MT"/>
                    <w:noProof/>
                  </w:rPr>
                  <w:t>5.3</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Expected methodology</w:t>
                </w:r>
                <w:r w:rsidR="00232A91">
                  <w:rPr>
                    <w:noProof/>
                    <w:webHidden/>
                  </w:rPr>
                  <w:tab/>
                </w:r>
                <w:r w:rsidR="00232A91">
                  <w:rPr>
                    <w:noProof/>
                    <w:webHidden/>
                  </w:rPr>
                  <w:fldChar w:fldCharType="begin"/>
                </w:r>
                <w:r w:rsidR="00232A91">
                  <w:rPr>
                    <w:noProof/>
                    <w:webHidden/>
                  </w:rPr>
                  <w:instrText xml:space="preserve"> PAGEREF _Toc195120127 \h </w:instrText>
                </w:r>
                <w:r w:rsidR="00232A91">
                  <w:rPr>
                    <w:noProof/>
                    <w:webHidden/>
                  </w:rPr>
                </w:r>
                <w:r w:rsidR="00232A91">
                  <w:rPr>
                    <w:noProof/>
                    <w:webHidden/>
                  </w:rPr>
                  <w:fldChar w:fldCharType="separate"/>
                </w:r>
                <w:r w:rsidR="00232A91">
                  <w:rPr>
                    <w:noProof/>
                    <w:webHidden/>
                  </w:rPr>
                  <w:t>8</w:t>
                </w:r>
                <w:r w:rsidR="00232A91">
                  <w:rPr>
                    <w:noProof/>
                    <w:webHidden/>
                  </w:rPr>
                  <w:fldChar w:fldCharType="end"/>
                </w:r>
              </w:hyperlink>
            </w:p>
            <w:p w14:paraId="4614C313" w14:textId="51F59309"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28" w:history="1">
                <w:r w:rsidR="00232A91" w:rsidRPr="005E3845">
                  <w:rPr>
                    <w:rStyle w:val="Lienhypertexte"/>
                    <w:rFonts w:ascii="Tw Cen MT" w:hAnsi="Tw Cen MT"/>
                    <w:noProof/>
                  </w:rPr>
                  <w:t>5.4</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Estimated timeframe for the service, intermediate stages, response times, etc.</w:t>
                </w:r>
                <w:r w:rsidR="00232A91">
                  <w:rPr>
                    <w:noProof/>
                    <w:webHidden/>
                  </w:rPr>
                  <w:tab/>
                </w:r>
                <w:r w:rsidR="00232A91">
                  <w:rPr>
                    <w:noProof/>
                    <w:webHidden/>
                  </w:rPr>
                  <w:fldChar w:fldCharType="begin"/>
                </w:r>
                <w:r w:rsidR="00232A91">
                  <w:rPr>
                    <w:noProof/>
                    <w:webHidden/>
                  </w:rPr>
                  <w:instrText xml:space="preserve"> PAGEREF _Toc195120128 \h </w:instrText>
                </w:r>
                <w:r w:rsidR="00232A91">
                  <w:rPr>
                    <w:noProof/>
                    <w:webHidden/>
                  </w:rPr>
                </w:r>
                <w:r w:rsidR="00232A91">
                  <w:rPr>
                    <w:noProof/>
                    <w:webHidden/>
                  </w:rPr>
                  <w:fldChar w:fldCharType="separate"/>
                </w:r>
                <w:r w:rsidR="00232A91">
                  <w:rPr>
                    <w:noProof/>
                    <w:webHidden/>
                  </w:rPr>
                  <w:t>8</w:t>
                </w:r>
                <w:r w:rsidR="00232A91">
                  <w:rPr>
                    <w:noProof/>
                    <w:webHidden/>
                  </w:rPr>
                  <w:fldChar w:fldCharType="end"/>
                </w:r>
              </w:hyperlink>
            </w:p>
            <w:p w14:paraId="258C9728" w14:textId="088933B1"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29" w:history="1">
                <w:r w:rsidR="00232A91" w:rsidRPr="005E3845">
                  <w:rPr>
                    <w:rStyle w:val="Lienhypertexte"/>
                    <w:rFonts w:ascii="Tw Cen MT" w:hAnsi="Tw Cen MT"/>
                    <w:noProof/>
                  </w:rPr>
                  <w:t>5.5</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Expected deliverables</w:t>
                </w:r>
                <w:r w:rsidR="00232A91">
                  <w:rPr>
                    <w:noProof/>
                    <w:webHidden/>
                  </w:rPr>
                  <w:tab/>
                </w:r>
                <w:r w:rsidR="00232A91">
                  <w:rPr>
                    <w:noProof/>
                    <w:webHidden/>
                  </w:rPr>
                  <w:fldChar w:fldCharType="begin"/>
                </w:r>
                <w:r w:rsidR="00232A91">
                  <w:rPr>
                    <w:noProof/>
                    <w:webHidden/>
                  </w:rPr>
                  <w:instrText xml:space="preserve"> PAGEREF _Toc195120129 \h </w:instrText>
                </w:r>
                <w:r w:rsidR="00232A91">
                  <w:rPr>
                    <w:noProof/>
                    <w:webHidden/>
                  </w:rPr>
                </w:r>
                <w:r w:rsidR="00232A91">
                  <w:rPr>
                    <w:noProof/>
                    <w:webHidden/>
                  </w:rPr>
                  <w:fldChar w:fldCharType="separate"/>
                </w:r>
                <w:r w:rsidR="00232A91">
                  <w:rPr>
                    <w:noProof/>
                    <w:webHidden/>
                  </w:rPr>
                  <w:t>9</w:t>
                </w:r>
                <w:r w:rsidR="00232A91">
                  <w:rPr>
                    <w:noProof/>
                    <w:webHidden/>
                  </w:rPr>
                  <w:fldChar w:fldCharType="end"/>
                </w:r>
              </w:hyperlink>
            </w:p>
            <w:p w14:paraId="1D8F988C" w14:textId="0C3F281D"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30" w:history="1">
                <w:r w:rsidR="00232A91" w:rsidRPr="005E3845">
                  <w:rPr>
                    <w:rStyle w:val="Lienhypertexte"/>
                    <w:rFonts w:ascii="Tw Cen MT" w:hAnsi="Tw Cen MT"/>
                    <w:noProof/>
                  </w:rPr>
                  <w:t>5.6</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Expertise expected of the Service Provider</w:t>
                </w:r>
                <w:r w:rsidR="00232A91">
                  <w:rPr>
                    <w:noProof/>
                    <w:webHidden/>
                  </w:rPr>
                  <w:tab/>
                </w:r>
                <w:r w:rsidR="00232A91">
                  <w:rPr>
                    <w:noProof/>
                    <w:webHidden/>
                  </w:rPr>
                  <w:fldChar w:fldCharType="begin"/>
                </w:r>
                <w:r w:rsidR="00232A91">
                  <w:rPr>
                    <w:noProof/>
                    <w:webHidden/>
                  </w:rPr>
                  <w:instrText xml:space="preserve"> PAGEREF _Toc195120130 \h </w:instrText>
                </w:r>
                <w:r w:rsidR="00232A91">
                  <w:rPr>
                    <w:noProof/>
                    <w:webHidden/>
                  </w:rPr>
                </w:r>
                <w:r w:rsidR="00232A91">
                  <w:rPr>
                    <w:noProof/>
                    <w:webHidden/>
                  </w:rPr>
                  <w:fldChar w:fldCharType="separate"/>
                </w:r>
                <w:r w:rsidR="00232A91">
                  <w:rPr>
                    <w:noProof/>
                    <w:webHidden/>
                  </w:rPr>
                  <w:t>9</w:t>
                </w:r>
                <w:r w:rsidR="00232A91">
                  <w:rPr>
                    <w:noProof/>
                    <w:webHidden/>
                  </w:rPr>
                  <w:fldChar w:fldCharType="end"/>
                </w:r>
              </w:hyperlink>
            </w:p>
            <w:p w14:paraId="28DC037C" w14:textId="2F538379" w:rsidR="00232A91" w:rsidRDefault="00000000">
              <w:pPr>
                <w:pStyle w:val="TM1"/>
                <w:rPr>
                  <w:rFonts w:asciiTheme="minorHAnsi" w:eastAsiaTheme="minorEastAsia" w:hAnsiTheme="minorHAnsi" w:cstheme="minorBidi"/>
                  <w:noProof/>
                  <w:sz w:val="22"/>
                  <w:szCs w:val="22"/>
                  <w:lang w:val="fr-FR"/>
                </w:rPr>
              </w:pPr>
              <w:hyperlink w:anchor="_Toc195120131" w:history="1">
                <w:r w:rsidR="00232A91" w:rsidRPr="005E3845">
                  <w:rPr>
                    <w:rStyle w:val="Lienhypertexte"/>
                    <w:rFonts w:ascii="Tw Cen MT" w:hAnsi="Tw Cen MT"/>
                    <w:noProof/>
                    <w14:scene3d>
                      <w14:camera w14:prst="orthographicFront"/>
                      <w14:lightRig w14:rig="threePt" w14:dir="t">
                        <w14:rot w14:lat="0" w14:lon="0" w14:rev="0"/>
                      </w14:lightRig>
                    </w14:scene3d>
                  </w:rPr>
                  <w:t>ARTICLE 6.</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Validation of deliverables by AFD</w:t>
                </w:r>
                <w:r w:rsidR="00232A91">
                  <w:rPr>
                    <w:noProof/>
                    <w:webHidden/>
                  </w:rPr>
                  <w:tab/>
                </w:r>
                <w:r w:rsidR="00232A91">
                  <w:rPr>
                    <w:noProof/>
                    <w:webHidden/>
                  </w:rPr>
                  <w:fldChar w:fldCharType="begin"/>
                </w:r>
                <w:r w:rsidR="00232A91">
                  <w:rPr>
                    <w:noProof/>
                    <w:webHidden/>
                  </w:rPr>
                  <w:instrText xml:space="preserve"> PAGEREF _Toc195120131 \h </w:instrText>
                </w:r>
                <w:r w:rsidR="00232A91">
                  <w:rPr>
                    <w:noProof/>
                    <w:webHidden/>
                  </w:rPr>
                </w:r>
                <w:r w:rsidR="00232A91">
                  <w:rPr>
                    <w:noProof/>
                    <w:webHidden/>
                  </w:rPr>
                  <w:fldChar w:fldCharType="separate"/>
                </w:r>
                <w:r w:rsidR="00232A91">
                  <w:rPr>
                    <w:noProof/>
                    <w:webHidden/>
                  </w:rPr>
                  <w:t>10</w:t>
                </w:r>
                <w:r w:rsidR="00232A91">
                  <w:rPr>
                    <w:noProof/>
                    <w:webHidden/>
                  </w:rPr>
                  <w:fldChar w:fldCharType="end"/>
                </w:r>
              </w:hyperlink>
            </w:p>
            <w:p w14:paraId="1B7E709C" w14:textId="559FE9BC"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32" w:history="1">
                <w:r w:rsidR="00232A91" w:rsidRPr="005E3845">
                  <w:rPr>
                    <w:rStyle w:val="Lienhypertexte"/>
                    <w:rFonts w:ascii="Tw Cen MT" w:hAnsi="Tw Cen MT"/>
                    <w:noProof/>
                  </w:rPr>
                  <w:t>6.1</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Deliverables validation process</w:t>
                </w:r>
                <w:r w:rsidR="00232A91">
                  <w:rPr>
                    <w:noProof/>
                    <w:webHidden/>
                  </w:rPr>
                  <w:tab/>
                </w:r>
                <w:r w:rsidR="00232A91">
                  <w:rPr>
                    <w:noProof/>
                    <w:webHidden/>
                  </w:rPr>
                  <w:fldChar w:fldCharType="begin"/>
                </w:r>
                <w:r w:rsidR="00232A91">
                  <w:rPr>
                    <w:noProof/>
                    <w:webHidden/>
                  </w:rPr>
                  <w:instrText xml:space="preserve"> PAGEREF _Toc195120132 \h </w:instrText>
                </w:r>
                <w:r w:rsidR="00232A91">
                  <w:rPr>
                    <w:noProof/>
                    <w:webHidden/>
                  </w:rPr>
                </w:r>
                <w:r w:rsidR="00232A91">
                  <w:rPr>
                    <w:noProof/>
                    <w:webHidden/>
                  </w:rPr>
                  <w:fldChar w:fldCharType="separate"/>
                </w:r>
                <w:r w:rsidR="00232A91">
                  <w:rPr>
                    <w:noProof/>
                    <w:webHidden/>
                  </w:rPr>
                  <w:t>10</w:t>
                </w:r>
                <w:r w:rsidR="00232A91">
                  <w:rPr>
                    <w:noProof/>
                    <w:webHidden/>
                  </w:rPr>
                  <w:fldChar w:fldCharType="end"/>
                </w:r>
              </w:hyperlink>
            </w:p>
            <w:p w14:paraId="5CB2CBDD" w14:textId="3D8CEBF4" w:rsidR="00232A91" w:rsidRDefault="00000000">
              <w:pPr>
                <w:pStyle w:val="TM2"/>
                <w:tabs>
                  <w:tab w:val="left" w:pos="880"/>
                  <w:tab w:val="right" w:leader="dot" w:pos="9636"/>
                </w:tabs>
                <w:rPr>
                  <w:rFonts w:asciiTheme="minorHAnsi" w:eastAsiaTheme="minorEastAsia" w:hAnsiTheme="minorHAnsi" w:cstheme="minorBidi"/>
                  <w:noProof/>
                  <w:sz w:val="22"/>
                  <w:szCs w:val="22"/>
                  <w:lang w:val="fr-FR"/>
                </w:rPr>
              </w:pPr>
              <w:hyperlink w:anchor="_Toc195120133" w:history="1">
                <w:r w:rsidR="00232A91" w:rsidRPr="005E3845">
                  <w:rPr>
                    <w:rStyle w:val="Lienhypertexte"/>
                    <w:rFonts w:ascii="Tw Cen MT" w:hAnsi="Tw Cen MT"/>
                    <w:noProof/>
                  </w:rPr>
                  <w:t>6.2</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Validation criteria for deliverables</w:t>
                </w:r>
                <w:r w:rsidR="00232A91">
                  <w:rPr>
                    <w:noProof/>
                    <w:webHidden/>
                  </w:rPr>
                  <w:tab/>
                </w:r>
                <w:r w:rsidR="00232A91">
                  <w:rPr>
                    <w:noProof/>
                    <w:webHidden/>
                  </w:rPr>
                  <w:fldChar w:fldCharType="begin"/>
                </w:r>
                <w:r w:rsidR="00232A91">
                  <w:rPr>
                    <w:noProof/>
                    <w:webHidden/>
                  </w:rPr>
                  <w:instrText xml:space="preserve"> PAGEREF _Toc195120133 \h </w:instrText>
                </w:r>
                <w:r w:rsidR="00232A91">
                  <w:rPr>
                    <w:noProof/>
                    <w:webHidden/>
                  </w:rPr>
                </w:r>
                <w:r w:rsidR="00232A91">
                  <w:rPr>
                    <w:noProof/>
                    <w:webHidden/>
                  </w:rPr>
                  <w:fldChar w:fldCharType="separate"/>
                </w:r>
                <w:r w:rsidR="00232A91">
                  <w:rPr>
                    <w:noProof/>
                    <w:webHidden/>
                  </w:rPr>
                  <w:t>10</w:t>
                </w:r>
                <w:r w:rsidR="00232A91">
                  <w:rPr>
                    <w:noProof/>
                    <w:webHidden/>
                  </w:rPr>
                  <w:fldChar w:fldCharType="end"/>
                </w:r>
              </w:hyperlink>
            </w:p>
            <w:p w14:paraId="5243CA28" w14:textId="7FCFAF4E" w:rsidR="00232A91" w:rsidRDefault="00000000">
              <w:pPr>
                <w:pStyle w:val="TM1"/>
                <w:rPr>
                  <w:rFonts w:asciiTheme="minorHAnsi" w:eastAsiaTheme="minorEastAsia" w:hAnsiTheme="minorHAnsi" w:cstheme="minorBidi"/>
                  <w:noProof/>
                  <w:sz w:val="22"/>
                  <w:szCs w:val="22"/>
                  <w:lang w:val="fr-FR"/>
                </w:rPr>
              </w:pPr>
              <w:hyperlink w:anchor="_Toc195120134" w:history="1">
                <w:r w:rsidR="00232A91" w:rsidRPr="005E3845">
                  <w:rPr>
                    <w:rStyle w:val="Lienhypertexte"/>
                    <w:rFonts w:ascii="Tw Cen MT" w:hAnsi="Tw Cen MT"/>
                    <w:noProof/>
                    <w14:scene3d>
                      <w14:camera w14:prst="orthographicFront"/>
                      <w14:lightRig w14:rig="threePt" w14:dir="t">
                        <w14:rot w14:lat="0" w14:lon="0" w14:rev="0"/>
                      </w14:lightRig>
                    </w14:scene3d>
                  </w:rPr>
                  <w:t>ARTICLE 7.</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Constraints imposed by AFD</w:t>
                </w:r>
                <w:r w:rsidR="00232A91">
                  <w:rPr>
                    <w:noProof/>
                    <w:webHidden/>
                  </w:rPr>
                  <w:tab/>
                </w:r>
                <w:r w:rsidR="00232A91">
                  <w:rPr>
                    <w:noProof/>
                    <w:webHidden/>
                  </w:rPr>
                  <w:fldChar w:fldCharType="begin"/>
                </w:r>
                <w:r w:rsidR="00232A91">
                  <w:rPr>
                    <w:noProof/>
                    <w:webHidden/>
                  </w:rPr>
                  <w:instrText xml:space="preserve"> PAGEREF _Toc195120134 \h </w:instrText>
                </w:r>
                <w:r w:rsidR="00232A91">
                  <w:rPr>
                    <w:noProof/>
                    <w:webHidden/>
                  </w:rPr>
                </w:r>
                <w:r w:rsidR="00232A91">
                  <w:rPr>
                    <w:noProof/>
                    <w:webHidden/>
                  </w:rPr>
                  <w:fldChar w:fldCharType="separate"/>
                </w:r>
                <w:r w:rsidR="00232A91">
                  <w:rPr>
                    <w:noProof/>
                    <w:webHidden/>
                  </w:rPr>
                  <w:t>11</w:t>
                </w:r>
                <w:r w:rsidR="00232A91">
                  <w:rPr>
                    <w:noProof/>
                    <w:webHidden/>
                  </w:rPr>
                  <w:fldChar w:fldCharType="end"/>
                </w:r>
              </w:hyperlink>
            </w:p>
            <w:p w14:paraId="0DAF3774" w14:textId="623FDBA0" w:rsidR="00232A91" w:rsidRDefault="00000000">
              <w:pPr>
                <w:pStyle w:val="TM1"/>
                <w:rPr>
                  <w:rFonts w:asciiTheme="minorHAnsi" w:eastAsiaTheme="minorEastAsia" w:hAnsiTheme="minorHAnsi" w:cstheme="minorBidi"/>
                  <w:noProof/>
                  <w:sz w:val="22"/>
                  <w:szCs w:val="22"/>
                  <w:lang w:val="fr-FR"/>
                </w:rPr>
              </w:pPr>
              <w:hyperlink w:anchor="_Toc195120135" w:history="1">
                <w:r w:rsidR="00232A91" w:rsidRPr="005E3845">
                  <w:rPr>
                    <w:rStyle w:val="Lienhypertexte"/>
                    <w:rFonts w:ascii="Tw Cen MT" w:hAnsi="Tw Cen MT"/>
                    <w:noProof/>
                    <w14:scene3d>
                      <w14:camera w14:prst="orthographicFront"/>
                      <w14:lightRig w14:rig="threePt" w14:dir="t">
                        <w14:rot w14:lat="0" w14:lon="0" w14:rev="0"/>
                      </w14:lightRig>
                    </w14:scene3d>
                  </w:rPr>
                  <w:t>ARTICLE 8.</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Resources made available to the Service Provider</w:t>
                </w:r>
                <w:r w:rsidR="00232A91">
                  <w:rPr>
                    <w:noProof/>
                    <w:webHidden/>
                  </w:rPr>
                  <w:tab/>
                </w:r>
                <w:r w:rsidR="00232A91">
                  <w:rPr>
                    <w:noProof/>
                    <w:webHidden/>
                  </w:rPr>
                  <w:fldChar w:fldCharType="begin"/>
                </w:r>
                <w:r w:rsidR="00232A91">
                  <w:rPr>
                    <w:noProof/>
                    <w:webHidden/>
                  </w:rPr>
                  <w:instrText xml:space="preserve"> PAGEREF _Toc195120135 \h </w:instrText>
                </w:r>
                <w:r w:rsidR="00232A91">
                  <w:rPr>
                    <w:noProof/>
                    <w:webHidden/>
                  </w:rPr>
                </w:r>
                <w:r w:rsidR="00232A91">
                  <w:rPr>
                    <w:noProof/>
                    <w:webHidden/>
                  </w:rPr>
                  <w:fldChar w:fldCharType="separate"/>
                </w:r>
                <w:r w:rsidR="00232A91">
                  <w:rPr>
                    <w:noProof/>
                    <w:webHidden/>
                  </w:rPr>
                  <w:t>11</w:t>
                </w:r>
                <w:r w:rsidR="00232A91">
                  <w:rPr>
                    <w:noProof/>
                    <w:webHidden/>
                  </w:rPr>
                  <w:fldChar w:fldCharType="end"/>
                </w:r>
              </w:hyperlink>
            </w:p>
            <w:p w14:paraId="15EF053B" w14:textId="15154AFE" w:rsidR="00232A91" w:rsidRDefault="00000000">
              <w:pPr>
                <w:pStyle w:val="TM1"/>
                <w:rPr>
                  <w:rFonts w:asciiTheme="minorHAnsi" w:eastAsiaTheme="minorEastAsia" w:hAnsiTheme="minorHAnsi" w:cstheme="minorBidi"/>
                  <w:noProof/>
                  <w:sz w:val="22"/>
                  <w:szCs w:val="22"/>
                  <w:lang w:val="fr-FR"/>
                </w:rPr>
              </w:pPr>
              <w:hyperlink w:anchor="_Toc195120136" w:history="1">
                <w:r w:rsidR="00232A91" w:rsidRPr="005E3845">
                  <w:rPr>
                    <w:rStyle w:val="Lienhypertexte"/>
                    <w:rFonts w:ascii="Tw Cen MT" w:hAnsi="Tw Cen MT"/>
                    <w:noProof/>
                    <w14:scene3d>
                      <w14:camera w14:prst="orthographicFront"/>
                      <w14:lightRig w14:rig="threePt" w14:dir="t">
                        <w14:rot w14:lat="0" w14:lon="0" w14:rev="0"/>
                      </w14:lightRig>
                    </w14:scene3d>
                  </w:rPr>
                  <w:t>ARTICLE 9.</w:t>
                </w:r>
                <w:r w:rsidR="00232A91">
                  <w:rPr>
                    <w:rFonts w:asciiTheme="minorHAnsi" w:eastAsiaTheme="minorEastAsia" w:hAnsiTheme="minorHAnsi" w:cstheme="minorBidi"/>
                    <w:noProof/>
                    <w:sz w:val="22"/>
                    <w:szCs w:val="22"/>
                    <w:lang w:val="fr-FR"/>
                  </w:rPr>
                  <w:tab/>
                </w:r>
                <w:r w:rsidR="00232A91" w:rsidRPr="005E3845">
                  <w:rPr>
                    <w:rStyle w:val="Lienhypertexte"/>
                    <w:rFonts w:ascii="Tw Cen MT" w:hAnsi="Tw Cen MT"/>
                    <w:noProof/>
                  </w:rPr>
                  <w:t>Provisional schedule for the services</w:t>
                </w:r>
                <w:r w:rsidR="00232A91">
                  <w:rPr>
                    <w:noProof/>
                    <w:webHidden/>
                  </w:rPr>
                  <w:tab/>
                </w:r>
                <w:r w:rsidR="00232A91">
                  <w:rPr>
                    <w:noProof/>
                    <w:webHidden/>
                  </w:rPr>
                  <w:fldChar w:fldCharType="begin"/>
                </w:r>
                <w:r w:rsidR="00232A91">
                  <w:rPr>
                    <w:noProof/>
                    <w:webHidden/>
                  </w:rPr>
                  <w:instrText xml:space="preserve"> PAGEREF _Toc195120136 \h </w:instrText>
                </w:r>
                <w:r w:rsidR="00232A91">
                  <w:rPr>
                    <w:noProof/>
                    <w:webHidden/>
                  </w:rPr>
                </w:r>
                <w:r w:rsidR="00232A91">
                  <w:rPr>
                    <w:noProof/>
                    <w:webHidden/>
                  </w:rPr>
                  <w:fldChar w:fldCharType="separate"/>
                </w:r>
                <w:r w:rsidR="00232A91">
                  <w:rPr>
                    <w:noProof/>
                    <w:webHidden/>
                  </w:rPr>
                  <w:t>11</w:t>
                </w:r>
                <w:r w:rsidR="00232A91">
                  <w:rPr>
                    <w:noProof/>
                    <w:webHidden/>
                  </w:rPr>
                  <w:fldChar w:fldCharType="end"/>
                </w:r>
              </w:hyperlink>
            </w:p>
            <w:p w14:paraId="069E7A6A" w14:textId="666587E1" w:rsidR="0073004C" w:rsidRPr="00755E57" w:rsidRDefault="0073004C" w:rsidP="00B8096A">
              <w:pPr>
                <w:jc w:val="both"/>
                <w:rPr>
                  <w:rFonts w:ascii="Tw Cen MT" w:hAnsi="Tw Cen MT"/>
                </w:rPr>
              </w:pPr>
              <w:r w:rsidRPr="00F20141">
                <w:rPr>
                  <w:rFonts w:ascii="Tw Cen MT" w:hAnsi="Tw Cen MT"/>
                  <w:b/>
                  <w:sz w:val="18"/>
                </w:rPr>
                <w:fldChar w:fldCharType="end"/>
              </w:r>
            </w:p>
          </w:sdtContent>
        </w:sdt>
      </w:sdtContent>
    </w:sdt>
    <w:p w14:paraId="08CAE2F8" w14:textId="77777777" w:rsidR="0073004C" w:rsidRPr="00755E57" w:rsidRDefault="0073004C" w:rsidP="00B8096A">
      <w:pPr>
        <w:jc w:val="both"/>
        <w:rPr>
          <w:rFonts w:ascii="Tw Cen MT" w:hAnsi="Tw Cen MT" w:cs="Arial"/>
          <w:snapToGrid w:val="0"/>
          <w:sz w:val="22"/>
        </w:rPr>
      </w:pPr>
      <w:r w:rsidRPr="00F20141">
        <w:rPr>
          <w:rFonts w:ascii="Tw Cen MT" w:hAnsi="Tw Cen MT"/>
        </w:rPr>
        <w:br w:type="page"/>
      </w:r>
    </w:p>
    <w:p w14:paraId="6A71E8E2" w14:textId="77777777" w:rsidR="008F5D68" w:rsidRPr="00755E57" w:rsidRDefault="008F5D68" w:rsidP="0006125C">
      <w:pPr>
        <w:ind w:left="60"/>
        <w:jc w:val="both"/>
        <w:rPr>
          <w:rFonts w:ascii="Tw Cen MT" w:eastAsia="Trebuchet MS" w:hAnsi="Tw Cen MT" w:cs="Trebuchet MS"/>
          <w:color w:val="000000"/>
          <w:sz w:val="20"/>
        </w:rPr>
      </w:pPr>
    </w:p>
    <w:p w14:paraId="33891AFF" w14:textId="37E4AF40" w:rsidR="002104E0" w:rsidRPr="002104E0" w:rsidRDefault="008F5D68" w:rsidP="002104E0">
      <w:pPr>
        <w:pStyle w:val="Titre1"/>
        <w:spacing w:before="0" w:after="0"/>
        <w:jc w:val="both"/>
        <w:rPr>
          <w:rFonts w:ascii="Tw Cen MT" w:hAnsi="Tw Cen MT"/>
        </w:rPr>
      </w:pPr>
      <w:bookmarkStart w:id="0" w:name="_Toc82590874"/>
      <w:bookmarkStart w:id="1" w:name="_Toc195120120"/>
      <w:r w:rsidRPr="00784B97">
        <w:rPr>
          <w:rFonts w:ascii="Tw Cen MT" w:hAnsi="Tw Cen MT"/>
        </w:rPr>
        <w:t>Presentation of the entities</w:t>
      </w:r>
      <w:bookmarkEnd w:id="0"/>
      <w:bookmarkEnd w:id="1"/>
    </w:p>
    <w:p w14:paraId="2F1BA5F0" w14:textId="77777777" w:rsidR="00D45309" w:rsidRPr="00BA1093" w:rsidRDefault="00D45309" w:rsidP="002F4711">
      <w:pPr>
        <w:pStyle w:val="NormalWeb"/>
        <w:jc w:val="both"/>
        <w:rPr>
          <w:rStyle w:val="texttaille12"/>
          <w:rFonts w:ascii="Tw Cen MT" w:hAnsi="Tw Cen MT"/>
          <w:b/>
        </w:rPr>
      </w:pPr>
      <w:r w:rsidRPr="00BA1093">
        <w:rPr>
          <w:rStyle w:val="texttaille12"/>
          <w:rFonts w:ascii="Tw Cen MT" w:hAnsi="Tw Cen MT"/>
          <w:b/>
        </w:rPr>
        <w:t>Presentation of AFD:</w:t>
      </w:r>
    </w:p>
    <w:p w14:paraId="52B9B9B5" w14:textId="77777777" w:rsidR="00B200FA" w:rsidRPr="00BA1093" w:rsidRDefault="00AF7002" w:rsidP="00B8096A">
      <w:pPr>
        <w:pStyle w:val="NormalWeb"/>
        <w:spacing w:before="0" w:beforeAutospacing="0" w:after="0" w:afterAutospacing="0"/>
        <w:jc w:val="both"/>
        <w:rPr>
          <w:rStyle w:val="texttaille12"/>
          <w:rFonts w:ascii="Tw Cen MT" w:hAnsi="Tw Cen MT"/>
        </w:rPr>
      </w:pPr>
      <w:r w:rsidRPr="00BA1093">
        <w:rPr>
          <w:rStyle w:val="texttaille12"/>
          <w:rFonts w:ascii="Tw Cen MT" w:hAnsi="Tw Cen MT"/>
        </w:rPr>
        <w:t xml:space="preserve">The </w:t>
      </w:r>
      <w:proofErr w:type="spellStart"/>
      <w:r w:rsidRPr="00BA1093">
        <w:rPr>
          <w:rStyle w:val="texttaille12"/>
          <w:rFonts w:ascii="Tw Cen MT" w:hAnsi="Tw Cen MT"/>
        </w:rPr>
        <w:t>Agence</w:t>
      </w:r>
      <w:proofErr w:type="spellEnd"/>
      <w:r w:rsidRPr="00BA1093">
        <w:rPr>
          <w:rStyle w:val="texttaille12"/>
          <w:rFonts w:ascii="Tw Cen MT" w:hAnsi="Tw Cen MT"/>
        </w:rPr>
        <w:t xml:space="preserve"> </w:t>
      </w:r>
      <w:proofErr w:type="spellStart"/>
      <w:r w:rsidRPr="00BA1093">
        <w:rPr>
          <w:rStyle w:val="texttaille12"/>
          <w:rFonts w:ascii="Tw Cen MT" w:hAnsi="Tw Cen MT"/>
        </w:rPr>
        <w:t>Francaise</w:t>
      </w:r>
      <w:proofErr w:type="spellEnd"/>
      <w:r w:rsidRPr="00BA1093">
        <w:rPr>
          <w:rStyle w:val="texttaille12"/>
          <w:rFonts w:ascii="Tw Cen MT" w:hAnsi="Tw Cen MT"/>
        </w:rPr>
        <w:t xml:space="preserve"> de </w:t>
      </w:r>
      <w:proofErr w:type="spellStart"/>
      <w:r w:rsidRPr="00BA1093">
        <w:rPr>
          <w:rStyle w:val="texttaille12"/>
          <w:rFonts w:ascii="Tw Cen MT" w:hAnsi="Tw Cen MT"/>
        </w:rPr>
        <w:t>Développement</w:t>
      </w:r>
      <w:proofErr w:type="spellEnd"/>
      <w:r w:rsidRPr="00BA1093">
        <w:rPr>
          <w:rStyle w:val="texttaille12"/>
          <w:rFonts w:ascii="Tw Cen MT" w:hAnsi="Tw Cen MT"/>
        </w:rPr>
        <w:t xml:space="preserve"> (AFD) is a bilateral development finance institution, fully owned by the French State. It is the main implementing agency for France’s official development assistance to developing countries and overseas territories. The AFD finances and supports development projects and programs that support more sustainable and shared economic growth, improve the living conditions of the poorest, contribute to the preservation of the planet. </w:t>
      </w:r>
    </w:p>
    <w:p w14:paraId="3A164692" w14:textId="77777777" w:rsidR="00B200FA" w:rsidRPr="00BA1093" w:rsidRDefault="00B200FA" w:rsidP="00B8096A">
      <w:pPr>
        <w:pStyle w:val="NormalWeb"/>
        <w:spacing w:before="0" w:beforeAutospacing="0" w:after="0" w:afterAutospacing="0"/>
        <w:jc w:val="both"/>
        <w:rPr>
          <w:rStyle w:val="texttaille12"/>
          <w:rFonts w:ascii="Tw Cen MT" w:hAnsi="Tw Cen MT"/>
        </w:rPr>
      </w:pPr>
    </w:p>
    <w:p w14:paraId="039E2583" w14:textId="77777777" w:rsidR="00B200FA" w:rsidRPr="00BA1093" w:rsidRDefault="00B200FA" w:rsidP="00B200FA">
      <w:pPr>
        <w:pStyle w:val="NormalWeb"/>
        <w:spacing w:before="0" w:beforeAutospacing="0" w:after="0" w:afterAutospacing="0"/>
        <w:jc w:val="both"/>
        <w:rPr>
          <w:rStyle w:val="texttaille12"/>
          <w:rFonts w:ascii="Tw Cen MT" w:hAnsi="Tw Cen MT"/>
        </w:rPr>
      </w:pPr>
      <w:r w:rsidRPr="00BA1093">
        <w:rPr>
          <w:rStyle w:val="texttaille12"/>
          <w:rFonts w:ascii="Tw Cen MT" w:hAnsi="Tw Cen MT"/>
        </w:rPr>
        <w:t>Our teams are involved in over 4,000 projects in France, in the overseas territories and in 115 other countries, for the common good of humanity – the climate, biodiversity, peace, gender equality, education and health. In this way, we are thus contributing to the commitment of France and of the French people to the Sustainable Development Goals. For a shared world.</w:t>
      </w:r>
    </w:p>
    <w:p w14:paraId="6511B73A" w14:textId="77777777" w:rsidR="00B200FA" w:rsidRPr="00BA1093" w:rsidRDefault="00B200FA" w:rsidP="00B200FA">
      <w:pPr>
        <w:pStyle w:val="NormalWeb"/>
        <w:spacing w:before="0" w:beforeAutospacing="0" w:after="0" w:afterAutospacing="0"/>
        <w:jc w:val="both"/>
        <w:rPr>
          <w:rStyle w:val="texttaille12"/>
          <w:rFonts w:ascii="Tw Cen MT" w:hAnsi="Tw Cen MT"/>
          <w:u w:val="single"/>
        </w:rPr>
      </w:pPr>
    </w:p>
    <w:p w14:paraId="73AF2574" w14:textId="77777777" w:rsidR="00B200FA" w:rsidRPr="00BA1093" w:rsidRDefault="00B200FA" w:rsidP="00B200FA">
      <w:pPr>
        <w:pStyle w:val="NormalWeb"/>
        <w:spacing w:before="0" w:beforeAutospacing="0" w:after="0" w:afterAutospacing="0"/>
        <w:jc w:val="both"/>
        <w:rPr>
          <w:rFonts w:ascii="Tw Cen MT" w:hAnsi="Tw Cen MT"/>
        </w:rPr>
      </w:pPr>
      <w:r w:rsidRPr="00BA1093">
        <w:rPr>
          <w:rStyle w:val="texttaille12"/>
          <w:rFonts w:ascii="Tw Cen MT" w:hAnsi="Tw Cen MT"/>
        </w:rPr>
        <w:t>Through</w:t>
      </w:r>
      <w:r w:rsidRPr="00BA1093">
        <w:rPr>
          <w:rFonts w:ascii="Tw Cen MT" w:hAnsi="Tw Cen MT"/>
        </w:rPr>
        <w:t xml:space="preserve"> </w:t>
      </w:r>
      <w:hyperlink r:id="rId8" w:tooltip="AFD grants" w:history="1">
        <w:r w:rsidRPr="00BA1093">
          <w:rPr>
            <w:rStyle w:val="lev"/>
            <w:rFonts w:ascii="Tw Cen MT" w:hAnsi="Tw Cen MT"/>
            <w:b w:val="0"/>
          </w:rPr>
          <w:t>grants,</w:t>
        </w:r>
        <w:r w:rsidRPr="00BA1093">
          <w:rPr>
            <w:rStyle w:val="texttaille12"/>
            <w:rFonts w:ascii="Tw Cen MT" w:hAnsi="Tw Cen MT"/>
          </w:rPr>
          <w:t xml:space="preserve"> </w:t>
        </w:r>
      </w:hyperlink>
      <w:r w:rsidRPr="00BA1093">
        <w:rPr>
          <w:rFonts w:ascii="Tw Cen MT" w:hAnsi="Tw Cen MT"/>
        </w:rPr>
        <w:t xml:space="preserve"> </w:t>
      </w:r>
      <w:hyperlink r:id="rId9" w:tooltip="AFD loans" w:history="1">
        <w:r w:rsidRPr="00BA1093">
          <w:rPr>
            <w:rStyle w:val="lev"/>
            <w:rFonts w:ascii="Tw Cen MT" w:hAnsi="Tw Cen MT"/>
            <w:b w:val="0"/>
          </w:rPr>
          <w:t>loans,</w:t>
        </w:r>
        <w:r w:rsidRPr="00BA1093">
          <w:rPr>
            <w:rStyle w:val="texttaille12"/>
            <w:rFonts w:ascii="Tw Cen MT" w:hAnsi="Tw Cen MT"/>
          </w:rPr>
          <w:t xml:space="preserve"> </w:t>
        </w:r>
      </w:hyperlink>
      <w:r w:rsidRPr="00BA1093">
        <w:rPr>
          <w:rFonts w:ascii="Tw Cen MT" w:hAnsi="Tw Cen MT"/>
        </w:rPr>
        <w:t xml:space="preserve"> </w:t>
      </w:r>
      <w:hyperlink r:id="rId10" w:tooltip="AFD guarantees" w:history="1">
        <w:r w:rsidRPr="00BA1093">
          <w:rPr>
            <w:rStyle w:val="lev"/>
            <w:rFonts w:ascii="Tw Cen MT" w:hAnsi="Tw Cen MT"/>
            <w:b w:val="0"/>
          </w:rPr>
          <w:t>guarantee funds</w:t>
        </w:r>
        <w:r w:rsidRPr="00BA1093">
          <w:rPr>
            <w:rStyle w:val="texttaille12"/>
            <w:rFonts w:ascii="Tw Cen MT" w:hAnsi="Tw Cen MT"/>
          </w:rPr>
          <w:t xml:space="preserve"> </w:t>
        </w:r>
      </w:hyperlink>
      <w:r w:rsidRPr="00BA1093">
        <w:rPr>
          <w:rStyle w:val="texttaille12"/>
          <w:rFonts w:ascii="Tw Cen MT" w:hAnsi="Tw Cen MT"/>
        </w:rPr>
        <w:t>or</w:t>
      </w:r>
      <w:r w:rsidRPr="00BA1093">
        <w:rPr>
          <w:rFonts w:ascii="Tw Cen MT" w:hAnsi="Tw Cen MT"/>
        </w:rPr>
        <w:t xml:space="preserve"> </w:t>
      </w:r>
      <w:hyperlink r:id="rId11" w:tooltip="C2D AFD" w:history="1">
        <w:r w:rsidRPr="00BA1093">
          <w:rPr>
            <w:rStyle w:val="lev"/>
            <w:rFonts w:ascii="Tw Cen MT" w:hAnsi="Tw Cen MT"/>
            <w:b w:val="0"/>
          </w:rPr>
          <w:t>debt reduction and development contracts,</w:t>
        </w:r>
        <w:r w:rsidRPr="00BA1093">
          <w:rPr>
            <w:rStyle w:val="texttaille12"/>
            <w:rFonts w:ascii="Tw Cen MT" w:hAnsi="Tw Cen MT"/>
          </w:rPr>
          <w:t xml:space="preserve"> </w:t>
        </w:r>
      </w:hyperlink>
      <w:r w:rsidRPr="00BA1093">
        <w:rPr>
          <w:rStyle w:val="texttaille12"/>
          <w:rFonts w:ascii="Tw Cen MT" w:hAnsi="Tw Cen MT"/>
        </w:rPr>
        <w:t>AFD funds projects, programmes and studies and supports its partners in developing countries with their</w:t>
      </w:r>
      <w:r w:rsidRPr="00BA1093">
        <w:rPr>
          <w:rFonts w:ascii="Tw Cen MT" w:hAnsi="Tw Cen MT"/>
        </w:rPr>
        <w:t xml:space="preserve"> </w:t>
      </w:r>
      <w:hyperlink r:id="rId12" w:tooltip="AFD capacity building" w:history="1">
        <w:r w:rsidRPr="00BA1093">
          <w:rPr>
            <w:rStyle w:val="lev"/>
            <w:rFonts w:ascii="Tw Cen MT" w:hAnsi="Tw Cen MT"/>
            <w:b w:val="0"/>
          </w:rPr>
          <w:t>capacity building.</w:t>
        </w:r>
      </w:hyperlink>
      <w:hyperlink r:id="rId13" w:tooltip="AFD capacity building" w:history="1">
        <w:r w:rsidRPr="00BA1093">
          <w:rPr>
            <w:rStyle w:val="texttaille12"/>
            <w:rFonts w:ascii="Tw Cen MT" w:hAnsi="Tw Cen MT"/>
          </w:rPr>
          <w:t xml:space="preserve"> </w:t>
        </w:r>
      </w:hyperlink>
    </w:p>
    <w:p w14:paraId="213CB6DF" w14:textId="77777777" w:rsidR="00B200FA" w:rsidRPr="00BA1093" w:rsidRDefault="00B200FA" w:rsidP="00B200FA">
      <w:pPr>
        <w:pStyle w:val="NormalWeb"/>
        <w:spacing w:before="0" w:beforeAutospacing="0" w:after="0" w:afterAutospacing="0"/>
        <w:jc w:val="both"/>
        <w:rPr>
          <w:rFonts w:ascii="Tw Cen MT" w:hAnsi="Tw Cen MT"/>
        </w:rPr>
      </w:pPr>
    </w:p>
    <w:p w14:paraId="314059DC" w14:textId="77777777" w:rsidR="00B200FA" w:rsidRDefault="00B200FA" w:rsidP="00B200FA">
      <w:pPr>
        <w:pStyle w:val="NormalWeb"/>
        <w:spacing w:before="0" w:beforeAutospacing="0" w:after="0" w:afterAutospacing="0"/>
        <w:jc w:val="both"/>
        <w:rPr>
          <w:rFonts w:ascii="Tw Cen MT" w:hAnsi="Tw Cen MT"/>
        </w:rPr>
      </w:pPr>
      <w:r w:rsidRPr="00BA1093">
        <w:rPr>
          <w:rFonts w:ascii="Tw Cen MT" w:hAnsi="Tw Cen MT"/>
        </w:rPr>
        <w:t xml:space="preserve">Its subsidiary </w:t>
      </w:r>
      <w:hyperlink r:id="rId14" w:tgtFrame="_blank" w:history="1">
        <w:r w:rsidRPr="00BA1093">
          <w:rPr>
            <w:rStyle w:val="lev"/>
            <w:rFonts w:ascii="Tw Cen MT" w:hAnsi="Tw Cen MT"/>
            <w:u w:val="single"/>
          </w:rPr>
          <w:t>Proparco</w:t>
        </w:r>
        <w:r w:rsidRPr="00BA1093">
          <w:rPr>
            <w:rStyle w:val="mainsitecolor"/>
            <w:rFonts w:ascii="Tw Cen MT" w:hAnsi="Tw Cen MT"/>
            <w:u w:val="single"/>
          </w:rPr>
          <w:t xml:space="preserve"> </w:t>
        </w:r>
      </w:hyperlink>
      <w:r w:rsidRPr="00BA1093">
        <w:rPr>
          <w:rStyle w:val="mainsitecolor"/>
          <w:rFonts w:ascii="Tw Cen MT" w:hAnsi="Tw Cen MT"/>
          <w:u w:val="single"/>
        </w:rPr>
        <w:t>(</w:t>
      </w:r>
      <w:hyperlink r:id="rId15" w:history="1">
        <w:r w:rsidRPr="00BA1093">
          <w:rPr>
            <w:rStyle w:val="Lienhypertexte"/>
            <w:rFonts w:ascii="Tw Cen MT" w:hAnsi="Tw Cen MT"/>
          </w:rPr>
          <w:t>www.proparco.fr</w:t>
        </w:r>
      </w:hyperlink>
      <w:r w:rsidRPr="00BA1093">
        <w:rPr>
          <w:rStyle w:val="mainsitecolor"/>
          <w:rFonts w:ascii="Tw Cen MT" w:hAnsi="Tw Cen MT"/>
          <w:u w:val="single"/>
        </w:rPr>
        <w:t xml:space="preserve">) </w:t>
      </w:r>
      <w:r w:rsidRPr="00BA1093">
        <w:rPr>
          <w:rFonts w:ascii="Tw Cen MT" w:hAnsi="Tw Cen MT"/>
        </w:rPr>
        <w:t xml:space="preserve"> provides support for private investments. Dedicated to mobilising French public expertise, </w:t>
      </w:r>
      <w:r w:rsidRPr="00BA1093">
        <w:rPr>
          <w:rFonts w:ascii="Tw Cen MT" w:hAnsi="Tw Cen MT"/>
          <w:b/>
          <w:u w:val="single"/>
        </w:rPr>
        <w:t>Expertise France</w:t>
      </w:r>
      <w:r w:rsidRPr="00BA1093">
        <w:rPr>
          <w:rFonts w:ascii="Tw Cen MT" w:hAnsi="Tw Cen MT"/>
        </w:rPr>
        <w:t xml:space="preserve"> (</w:t>
      </w:r>
      <w:hyperlink r:id="rId16" w:history="1">
        <w:r w:rsidRPr="00BA1093">
          <w:rPr>
            <w:rStyle w:val="Lienhypertexte"/>
            <w:rFonts w:ascii="Tw Cen MT" w:hAnsi="Tw Cen MT"/>
          </w:rPr>
          <w:t>www.expertisefrance.fr</w:t>
        </w:r>
      </w:hyperlink>
      <w:r w:rsidRPr="00BA1093">
        <w:rPr>
          <w:rFonts w:ascii="Tw Cen MT" w:hAnsi="Tw Cen MT"/>
        </w:rPr>
        <w:t>) is expected to join AFD Group in 2022.</w:t>
      </w:r>
    </w:p>
    <w:p w14:paraId="0CC42664" w14:textId="77777777" w:rsidR="009D390F" w:rsidRPr="00BA1093" w:rsidRDefault="009D390F" w:rsidP="00B200FA">
      <w:pPr>
        <w:pStyle w:val="NormalWeb"/>
        <w:spacing w:before="0" w:beforeAutospacing="0" w:after="0" w:afterAutospacing="0"/>
        <w:jc w:val="both"/>
        <w:rPr>
          <w:rFonts w:ascii="Tw Cen MT" w:hAnsi="Tw Cen MT"/>
        </w:rPr>
      </w:pPr>
    </w:p>
    <w:p w14:paraId="5C017928" w14:textId="77777777" w:rsidR="00B200FA" w:rsidRPr="00BA1093" w:rsidRDefault="00B200FA" w:rsidP="00B200FA">
      <w:pPr>
        <w:pStyle w:val="NormalWeb"/>
        <w:spacing w:before="0" w:beforeAutospacing="0" w:after="0" w:afterAutospacing="0"/>
        <w:jc w:val="both"/>
        <w:rPr>
          <w:rFonts w:ascii="Tw Cen MT" w:hAnsi="Tw Cen MT"/>
        </w:rPr>
      </w:pPr>
    </w:p>
    <w:p w14:paraId="3F91E187" w14:textId="77777777" w:rsidR="00B200FA" w:rsidRPr="00BA1093" w:rsidRDefault="00B200FA" w:rsidP="00B200FA">
      <w:pPr>
        <w:pStyle w:val="NormalWeb"/>
        <w:spacing w:before="0" w:beforeAutospacing="0" w:after="0" w:afterAutospacing="0"/>
        <w:jc w:val="both"/>
        <w:rPr>
          <w:rFonts w:ascii="Tw Cen MT" w:hAnsi="Tw Cen MT"/>
        </w:rPr>
      </w:pPr>
      <w:r w:rsidRPr="00BA1093">
        <w:rPr>
          <w:rFonts w:ascii="Tw Cen MT" w:hAnsi="Tw Cen MT"/>
        </w:rPr>
        <w:t>AFD also works with French and international academic networks to feed into forward-looking discussions and debates on development.</w:t>
      </w:r>
    </w:p>
    <w:p w14:paraId="5A85C465" w14:textId="77777777" w:rsidR="00B200FA" w:rsidRPr="00BA1093" w:rsidRDefault="00B200FA" w:rsidP="00B8096A">
      <w:pPr>
        <w:pStyle w:val="NormalWeb"/>
        <w:spacing w:before="0" w:beforeAutospacing="0" w:after="0" w:afterAutospacing="0"/>
        <w:jc w:val="both"/>
        <w:rPr>
          <w:rStyle w:val="texttaille12"/>
          <w:rFonts w:ascii="Tw Cen MT" w:hAnsi="Tw Cen MT"/>
        </w:rPr>
      </w:pPr>
    </w:p>
    <w:p w14:paraId="58CC340D" w14:textId="77777777" w:rsidR="00B200FA" w:rsidRPr="00BA1093" w:rsidRDefault="00B200FA" w:rsidP="00B8096A">
      <w:pPr>
        <w:pStyle w:val="NormalWeb"/>
        <w:spacing w:before="0" w:beforeAutospacing="0" w:after="0" w:afterAutospacing="0"/>
        <w:jc w:val="both"/>
        <w:rPr>
          <w:rStyle w:val="texttaille12"/>
          <w:rFonts w:ascii="Tw Cen MT" w:hAnsi="Tw Cen MT"/>
        </w:rPr>
      </w:pPr>
    </w:p>
    <w:p w14:paraId="2CF5BD00" w14:textId="77777777" w:rsidR="00B34641" w:rsidRPr="00BA1093" w:rsidRDefault="00AF7002" w:rsidP="00B8096A">
      <w:pPr>
        <w:pStyle w:val="NormalWeb"/>
        <w:spacing w:before="0" w:beforeAutospacing="0" w:after="0" w:afterAutospacing="0"/>
        <w:jc w:val="both"/>
        <w:rPr>
          <w:rFonts w:ascii="Tw Cen MT" w:hAnsi="Tw Cen MT"/>
        </w:rPr>
      </w:pPr>
      <w:r w:rsidRPr="00BA1093">
        <w:rPr>
          <w:rStyle w:val="texttaille12"/>
          <w:rFonts w:ascii="Tw Cen MT" w:hAnsi="Tw Cen MT"/>
        </w:rPr>
        <w:t>Since 2012, AFD, alongside peer institutions, supports Georgia with a “green and inclusive growth” mandate, via projects in the following sectors: regional connectivity, energy, agriculture, water resources management and human capital development. AFD accompanies Georgia in building a sustainable and inclusive model of society based on values shared with the European Union (EU).</w:t>
      </w:r>
    </w:p>
    <w:p w14:paraId="6A608084" w14:textId="77777777" w:rsidR="00860174" w:rsidRPr="00BA1093" w:rsidRDefault="00860174" w:rsidP="00B8096A">
      <w:pPr>
        <w:pStyle w:val="NormalWeb"/>
        <w:spacing w:before="0" w:beforeAutospacing="0" w:after="0" w:afterAutospacing="0"/>
        <w:jc w:val="both"/>
        <w:rPr>
          <w:rFonts w:ascii="Tw Cen MT" w:hAnsi="Tw Cen MT"/>
        </w:rPr>
      </w:pPr>
    </w:p>
    <w:p w14:paraId="132F27CA" w14:textId="77777777" w:rsidR="00F21512" w:rsidRPr="00BA1093" w:rsidRDefault="00F21512" w:rsidP="00B8096A">
      <w:pPr>
        <w:pStyle w:val="NormalWeb"/>
        <w:spacing w:before="0" w:beforeAutospacing="0" w:after="0" w:afterAutospacing="0"/>
        <w:jc w:val="both"/>
        <w:rPr>
          <w:rFonts w:ascii="Tw Cen MT" w:hAnsi="Tw Cen MT"/>
        </w:rPr>
      </w:pPr>
      <w:r w:rsidRPr="00BA1093">
        <w:rPr>
          <w:rFonts w:ascii="Tw Cen MT" w:hAnsi="Tw Cen MT"/>
        </w:rPr>
        <w:t xml:space="preserve">Full information on AFD, and in </w:t>
      </w:r>
      <w:r w:rsidR="00860174" w:rsidRPr="00BA1093">
        <w:rPr>
          <w:rFonts w:ascii="Tw Cen MT" w:hAnsi="Tw Cen MT"/>
        </w:rPr>
        <w:t>particular,</w:t>
      </w:r>
      <w:r w:rsidRPr="00BA1093">
        <w:rPr>
          <w:rFonts w:ascii="Tw Cen MT" w:hAnsi="Tw Cen MT"/>
        </w:rPr>
        <w:t xml:space="preserve"> its Code of Ethics, which the service provider is strongly encouraged to read, can be found at </w:t>
      </w:r>
      <w:hyperlink r:id="rId17" w:history="1">
        <w:r w:rsidRPr="00BA1093">
          <w:rPr>
            <w:rStyle w:val="Lienhypertexte"/>
            <w:rFonts w:ascii="Tw Cen MT" w:hAnsi="Tw Cen MT"/>
          </w:rPr>
          <w:t>www.afd.fr</w:t>
        </w:r>
      </w:hyperlink>
      <w:r w:rsidRPr="00BA1093">
        <w:rPr>
          <w:rFonts w:ascii="Tw Cen MT" w:hAnsi="Tw Cen MT"/>
        </w:rPr>
        <w:t>.</w:t>
      </w:r>
    </w:p>
    <w:p w14:paraId="13163013" w14:textId="77777777" w:rsidR="003D2A94" w:rsidRPr="00BA1093" w:rsidRDefault="003D2A94" w:rsidP="00B8096A">
      <w:pPr>
        <w:pStyle w:val="NormalWeb"/>
        <w:spacing w:before="0" w:beforeAutospacing="0" w:after="0" w:afterAutospacing="0"/>
        <w:jc w:val="both"/>
        <w:rPr>
          <w:rFonts w:ascii="Tw Cen MT" w:hAnsi="Tw Cen MT"/>
        </w:rPr>
      </w:pPr>
    </w:p>
    <w:p w14:paraId="305046B6" w14:textId="77777777" w:rsidR="002104E0" w:rsidRPr="00B8096A" w:rsidRDefault="002104E0" w:rsidP="002104E0">
      <w:pPr>
        <w:jc w:val="both"/>
        <w:rPr>
          <w:rFonts w:ascii="Tw Cen MT" w:eastAsia="Trebuchet MS" w:hAnsi="Tw Cen MT" w:cs="Trebuchet MS"/>
          <w:color w:val="000000"/>
          <w:sz w:val="20"/>
        </w:rPr>
      </w:pPr>
    </w:p>
    <w:p w14:paraId="1680AB2C" w14:textId="77777777" w:rsidR="002104E0" w:rsidRPr="002104E0" w:rsidRDefault="002104E0" w:rsidP="002104E0">
      <w:pPr>
        <w:pStyle w:val="Titre1"/>
        <w:spacing w:before="0" w:after="0"/>
        <w:jc w:val="both"/>
        <w:rPr>
          <w:rFonts w:ascii="Tw Cen MT" w:hAnsi="Tw Cen MT"/>
        </w:rPr>
      </w:pPr>
      <w:bookmarkStart w:id="2" w:name="_Toc82590875"/>
      <w:bookmarkStart w:id="3" w:name="_Toc167270243"/>
      <w:bookmarkStart w:id="4" w:name="_Toc195120121"/>
      <w:r w:rsidRPr="002104E0">
        <w:rPr>
          <w:rFonts w:ascii="Tw Cen MT" w:hAnsi="Tw Cen MT"/>
        </w:rPr>
        <w:t>Presentation of the Contracting Department</w:t>
      </w:r>
      <w:bookmarkEnd w:id="2"/>
      <w:bookmarkEnd w:id="3"/>
      <w:bookmarkEnd w:id="4"/>
    </w:p>
    <w:p w14:paraId="553F0B83" w14:textId="77777777" w:rsidR="008F5D68" w:rsidRPr="00BA1093" w:rsidRDefault="008F5D68" w:rsidP="0006125C">
      <w:pPr>
        <w:jc w:val="both"/>
        <w:rPr>
          <w:rFonts w:ascii="Tw Cen MT" w:eastAsia="Trebuchet MS" w:hAnsi="Tw Cen MT"/>
          <w:color w:val="000000"/>
          <w:sz w:val="20"/>
        </w:rPr>
      </w:pPr>
    </w:p>
    <w:p w14:paraId="43EAEBAB" w14:textId="47363049" w:rsidR="00987FAD" w:rsidRPr="00BA1093" w:rsidRDefault="00860174" w:rsidP="00B8096A">
      <w:pPr>
        <w:jc w:val="both"/>
        <w:rPr>
          <w:rFonts w:ascii="Tw Cen MT" w:eastAsia="Trebuchet MS" w:hAnsi="Tw Cen MT" w:cs="Trebuchet MS"/>
          <w:color w:val="000000"/>
          <w:sz w:val="20"/>
        </w:rPr>
      </w:pPr>
      <w:r w:rsidRPr="00DB7C6F">
        <w:rPr>
          <w:rFonts w:ascii="Tw Cen MT" w:hAnsi="Tw Cen MT"/>
          <w:color w:val="000000" w:themeColor="text1"/>
        </w:rPr>
        <w:t xml:space="preserve">These services and the Technical Assistance programme that will unfold lie within the mandate and objectives of the AFD’s </w:t>
      </w:r>
      <w:r w:rsidR="00A23257" w:rsidRPr="00DB7C6F">
        <w:rPr>
          <w:rFonts w:ascii="Tw Cen MT" w:hAnsi="Tw Cen MT"/>
          <w:color w:val="000000" w:themeColor="text1"/>
        </w:rPr>
        <w:t xml:space="preserve">Productive Systems </w:t>
      </w:r>
      <w:r w:rsidRPr="00DB7C6F">
        <w:rPr>
          <w:rFonts w:ascii="Tw Cen MT" w:hAnsi="Tw Cen MT"/>
          <w:color w:val="000000" w:themeColor="text1"/>
        </w:rPr>
        <w:t>Division</w:t>
      </w:r>
      <w:r w:rsidR="00A23257" w:rsidRPr="00DB7C6F">
        <w:rPr>
          <w:rFonts w:ascii="Tw Cen MT" w:hAnsi="Tw Cen MT"/>
          <w:color w:val="000000" w:themeColor="text1"/>
        </w:rPr>
        <w:t xml:space="preserve"> (SYP). </w:t>
      </w:r>
      <w:r w:rsidR="00C30657" w:rsidRPr="00DB7C6F">
        <w:rPr>
          <w:rFonts w:ascii="Tw Cen MT" w:hAnsi="Tw Cen MT"/>
          <w:color w:val="000000" w:themeColor="text1"/>
        </w:rPr>
        <w:t xml:space="preserve">As part of the Sustainable Development Solutions Department, SYP plays a dual role in fostering economic development. On one side, the division focuses on providing non-sovereign loans to public enterprises, enabling them to enhance their operations, adopt sustainable practices, and contribute to broader economic growth. On the other side, the division’s expertise in entrepreneurship targets the private sector indirectly by financing public agencies through sovereign loans and grants. This support empowers public agencies to implement programs that bolster private entrepreneurship, including capacity-building initiatives, access to finance for </w:t>
      </w:r>
      <w:r w:rsidR="00BF4123" w:rsidRPr="00DB7C6F">
        <w:rPr>
          <w:rFonts w:ascii="Tw Cen MT" w:hAnsi="Tw Cen MT"/>
          <w:color w:val="000000" w:themeColor="text1"/>
        </w:rPr>
        <w:t>M</w:t>
      </w:r>
      <w:r w:rsidR="00C30657" w:rsidRPr="00DB7C6F">
        <w:rPr>
          <w:rFonts w:ascii="Tw Cen MT" w:hAnsi="Tw Cen MT"/>
          <w:color w:val="000000" w:themeColor="text1"/>
        </w:rPr>
        <w:t>SMEs, and the creation of a more inclusive entrepreneurial ecosystem. By addressing both public enterprises' needs and the challenges faced by private businesses, the SYP team fosters synergies between the public and private sectors, promoting innovation, sustainability, and inclusive growth in regions like Armenia and Georgia.</w:t>
      </w:r>
    </w:p>
    <w:p w14:paraId="265FD704" w14:textId="77777777" w:rsidR="00987FAD" w:rsidRPr="00BA1093" w:rsidRDefault="00987FAD" w:rsidP="00B8096A">
      <w:pPr>
        <w:jc w:val="both"/>
        <w:rPr>
          <w:rFonts w:ascii="Tw Cen MT" w:eastAsia="Trebuchet MS" w:hAnsi="Tw Cen MT" w:cs="Trebuchet MS"/>
          <w:color w:val="000000"/>
          <w:sz w:val="20"/>
        </w:rPr>
      </w:pPr>
    </w:p>
    <w:p w14:paraId="45C86A67" w14:textId="77777777" w:rsidR="00BB118B" w:rsidRPr="00BA1093" w:rsidRDefault="00BB118B" w:rsidP="00B8096A">
      <w:pPr>
        <w:pStyle w:val="Titre1"/>
        <w:spacing w:before="0" w:after="0"/>
        <w:jc w:val="both"/>
        <w:rPr>
          <w:rFonts w:ascii="Tw Cen MT" w:hAnsi="Tw Cen MT"/>
          <w:i/>
        </w:rPr>
      </w:pPr>
      <w:bookmarkStart w:id="5" w:name="_Toc322967809"/>
      <w:bookmarkStart w:id="6" w:name="_Toc82590876"/>
      <w:bookmarkStart w:id="7" w:name="_Toc195120122"/>
      <w:r w:rsidRPr="00BA1093">
        <w:rPr>
          <w:rFonts w:ascii="Tw Cen MT" w:hAnsi="Tw Cen MT"/>
        </w:rPr>
        <w:t>Background and goals of the work</w:t>
      </w:r>
      <w:bookmarkEnd w:id="5"/>
      <w:bookmarkEnd w:id="6"/>
      <w:bookmarkEnd w:id="7"/>
    </w:p>
    <w:p w14:paraId="34A6C2DE" w14:textId="77777777" w:rsidR="00BB118B" w:rsidRPr="00BA1093" w:rsidRDefault="00BB118B" w:rsidP="00B8096A">
      <w:pPr>
        <w:jc w:val="both"/>
        <w:rPr>
          <w:rFonts w:ascii="Tw Cen MT" w:hAnsi="Tw Cen MT"/>
          <w:highlight w:val="yellow"/>
        </w:rPr>
      </w:pPr>
      <w:bookmarkStart w:id="8" w:name="_Toc322957279"/>
    </w:p>
    <w:bookmarkEnd w:id="8"/>
    <w:p w14:paraId="5A3DAD41" w14:textId="75AF91DB" w:rsidR="00034195" w:rsidRPr="00BA1093" w:rsidRDefault="00860174" w:rsidP="005E2E16">
      <w:pPr>
        <w:spacing w:after="120"/>
        <w:jc w:val="both"/>
        <w:rPr>
          <w:rFonts w:ascii="Tw Cen MT" w:hAnsi="Tw Cen MT"/>
        </w:rPr>
      </w:pPr>
      <w:r w:rsidRPr="00BA1093">
        <w:rPr>
          <w:rFonts w:ascii="Tw Cen MT" w:hAnsi="Tw Cen MT"/>
        </w:rPr>
        <w:t xml:space="preserve">AFD has approved a grant (project code n° CGE1064) to finance technical assistance for supporting the implementation of the State Owned </w:t>
      </w:r>
      <w:proofErr w:type="spellStart"/>
      <w:r w:rsidRPr="00BA1093">
        <w:rPr>
          <w:rFonts w:ascii="Tw Cen MT" w:hAnsi="Tw Cen MT"/>
        </w:rPr>
        <w:t>Entreprises</w:t>
      </w:r>
      <w:proofErr w:type="spellEnd"/>
      <w:r w:rsidRPr="00BA1093">
        <w:rPr>
          <w:rFonts w:ascii="Tw Cen MT" w:hAnsi="Tw Cen MT"/>
        </w:rPr>
        <w:t xml:space="preserve"> Reform in Georgia</w:t>
      </w:r>
      <w:r w:rsidR="005E2E16">
        <w:rPr>
          <w:rFonts w:ascii="Tw Cen MT" w:hAnsi="Tw Cen MT"/>
        </w:rPr>
        <w:t xml:space="preserve"> and identify opportunities for AFD support in the non-sovereign sector</w:t>
      </w:r>
      <w:r w:rsidRPr="00BA1093">
        <w:rPr>
          <w:rFonts w:ascii="Tw Cen MT" w:hAnsi="Tw Cen MT"/>
        </w:rPr>
        <w:t>.</w:t>
      </w:r>
    </w:p>
    <w:p w14:paraId="0B2C7421" w14:textId="0D001708" w:rsidR="002B7927" w:rsidRPr="00BA1093" w:rsidRDefault="00860174" w:rsidP="00B8096A">
      <w:pPr>
        <w:jc w:val="both"/>
        <w:rPr>
          <w:rFonts w:ascii="Tw Cen MT" w:hAnsi="Tw Cen MT"/>
          <w:lang w:val="en-US"/>
        </w:rPr>
      </w:pPr>
      <w:r w:rsidRPr="00BA1093">
        <w:rPr>
          <w:rFonts w:ascii="Tw Cen MT" w:hAnsi="Tw Cen MT"/>
          <w:lang w:val="en-US"/>
        </w:rPr>
        <w:t>The grant focuses more specifically on commercial objectives and management framework pillars, with potential additional support in the environmental &amp; social domains if required (</w:t>
      </w:r>
      <w:proofErr w:type="spellStart"/>
      <w:r w:rsidRPr="00BA1093">
        <w:rPr>
          <w:rFonts w:ascii="Tw Cen MT" w:hAnsi="Tw Cen MT"/>
          <w:lang w:val="en-US"/>
        </w:rPr>
        <w:t>decarbonisation</w:t>
      </w:r>
      <w:proofErr w:type="spellEnd"/>
      <w:r w:rsidRPr="00BA1093">
        <w:rPr>
          <w:rFonts w:ascii="Tw Cen MT" w:hAnsi="Tw Cen MT"/>
          <w:lang w:val="en-US"/>
        </w:rPr>
        <w:t xml:space="preserve"> plans, ESG systems, extra financi</w:t>
      </w:r>
      <w:r w:rsidR="00F078C6">
        <w:rPr>
          <w:rFonts w:ascii="Tw Cen MT" w:hAnsi="Tw Cen MT"/>
          <w:lang w:val="en-US"/>
        </w:rPr>
        <w:t xml:space="preserve">al reporting, etc…). Support is </w:t>
      </w:r>
      <w:r w:rsidRPr="00BA1093">
        <w:rPr>
          <w:rFonts w:ascii="Tw Cen MT" w:hAnsi="Tw Cen MT"/>
          <w:lang w:val="en-US"/>
        </w:rPr>
        <w:t>expected mostly at SOE level, with beneficiary SOEs (and related areas of support) to be identified jointly during the course of implementation of the grant.</w:t>
      </w:r>
    </w:p>
    <w:p w14:paraId="436FD47B" w14:textId="77777777" w:rsidR="00860174" w:rsidRPr="00BA1093" w:rsidRDefault="00860174" w:rsidP="00B8096A">
      <w:pPr>
        <w:jc w:val="both"/>
        <w:rPr>
          <w:rFonts w:ascii="Tw Cen MT" w:hAnsi="Tw Cen MT"/>
          <w:lang w:val="en-US"/>
        </w:rPr>
      </w:pPr>
    </w:p>
    <w:p w14:paraId="343738E4" w14:textId="15659001" w:rsidR="00B200FA" w:rsidRDefault="00B200FA" w:rsidP="00B8096A">
      <w:pPr>
        <w:jc w:val="both"/>
        <w:rPr>
          <w:rFonts w:ascii="Tw Cen MT" w:hAnsi="Tw Cen MT"/>
        </w:rPr>
      </w:pPr>
      <w:r w:rsidRPr="00A82BC4">
        <w:rPr>
          <w:rFonts w:ascii="Tw Cen MT" w:hAnsi="Tw Cen MT"/>
          <w:lang w:val="en-US"/>
        </w:rPr>
        <w:t xml:space="preserve">In this general context of </w:t>
      </w:r>
      <w:r w:rsidR="00A82BC4" w:rsidRPr="00A82BC4">
        <w:rPr>
          <w:rFonts w:ascii="Tw Cen MT" w:hAnsi="Tw Cen MT"/>
        </w:rPr>
        <w:t xml:space="preserve">developing </w:t>
      </w:r>
      <w:r w:rsidRPr="00A82BC4">
        <w:rPr>
          <w:rFonts w:ascii="Tw Cen MT" w:hAnsi="Tw Cen MT"/>
          <w:lang w:val="en-US"/>
        </w:rPr>
        <w:t>AFD’s support to the non-sovereign sector in Georgia</w:t>
      </w:r>
      <w:r w:rsidR="00F078C6" w:rsidRPr="00A82BC4">
        <w:rPr>
          <w:rFonts w:ascii="Tw Cen MT" w:hAnsi="Tw Cen MT"/>
          <w:lang w:val="en-US"/>
        </w:rPr>
        <w:t xml:space="preserve"> and Armenia</w:t>
      </w:r>
      <w:r w:rsidR="00A82BC4" w:rsidRPr="00A82BC4">
        <w:rPr>
          <w:rFonts w:ascii="Tw Cen MT" w:hAnsi="Tw Cen MT"/>
          <w:i/>
        </w:rPr>
        <w:t xml:space="preserve"> </w:t>
      </w:r>
      <w:r w:rsidR="00A82BC4" w:rsidRPr="00A82BC4">
        <w:rPr>
          <w:rFonts w:ascii="Tw Cen MT" w:hAnsi="Tw Cen MT"/>
        </w:rPr>
        <w:t>in compliance with its mandate</w:t>
      </w:r>
      <w:r w:rsidRPr="00A82BC4">
        <w:rPr>
          <w:rFonts w:ascii="Tw Cen MT" w:hAnsi="Tw Cen MT"/>
          <w:lang w:val="en-US"/>
        </w:rPr>
        <w:t>, t</w:t>
      </w:r>
      <w:r w:rsidRPr="00A82BC4">
        <w:rPr>
          <w:rFonts w:ascii="Tw Cen MT" w:hAnsi="Tw Cen MT"/>
        </w:rPr>
        <w:t xml:space="preserve">his assignment is meant to support AFD’s prospection efforts. </w:t>
      </w:r>
      <w:r w:rsidR="005E2E16" w:rsidRPr="005E2E16">
        <w:rPr>
          <w:rFonts w:ascii="Tw Cen MT" w:hAnsi="Tw Cen MT"/>
          <w:b/>
        </w:rPr>
        <w:t>Its</w:t>
      </w:r>
      <w:r w:rsidRPr="005E2E16">
        <w:rPr>
          <w:rFonts w:ascii="Tw Cen MT" w:hAnsi="Tw Cen MT"/>
          <w:b/>
        </w:rPr>
        <w:t xml:space="preserve"> main purpose is to identify overall potential for support by AFD, and to assess the feasibility of finan</w:t>
      </w:r>
      <w:r w:rsidR="00AF6E9D" w:rsidRPr="005E2E16">
        <w:rPr>
          <w:rFonts w:ascii="Tw Cen MT" w:hAnsi="Tw Cen MT"/>
          <w:b/>
        </w:rPr>
        <w:t>cing of a list of selected SOEs</w:t>
      </w:r>
      <w:r w:rsidR="00AF6E9D" w:rsidRPr="00A82BC4">
        <w:rPr>
          <w:rFonts w:ascii="Tw Cen MT" w:hAnsi="Tw Cen MT"/>
        </w:rPr>
        <w:t>, in the framework of the implementation of the national process for reforming public enterprises.</w:t>
      </w:r>
    </w:p>
    <w:p w14:paraId="60CB0F64" w14:textId="77777777" w:rsidR="00A82BC4" w:rsidRPr="00A82BC4" w:rsidRDefault="00A82BC4" w:rsidP="00B8096A">
      <w:pPr>
        <w:jc w:val="both"/>
        <w:rPr>
          <w:rFonts w:ascii="Tw Cen MT" w:hAnsi="Tw Cen MT"/>
          <w:lang w:val="en-US"/>
        </w:rPr>
      </w:pPr>
    </w:p>
    <w:p w14:paraId="7AC8503B" w14:textId="77777777" w:rsidR="00A82BC4" w:rsidRPr="00A82BC4" w:rsidRDefault="00A82BC4" w:rsidP="00A82BC4">
      <w:pPr>
        <w:pStyle w:val="Sansinterligne"/>
        <w:jc w:val="both"/>
        <w:rPr>
          <w:rFonts w:ascii="Tw Cen MT" w:hAnsi="Tw Cen MT"/>
          <w:sz w:val="24"/>
          <w:szCs w:val="24"/>
        </w:rPr>
      </w:pPr>
      <w:r w:rsidRPr="00A82BC4">
        <w:rPr>
          <w:rFonts w:ascii="Tw Cen MT" w:hAnsi="Tw Cen MT"/>
          <w:sz w:val="24"/>
          <w:szCs w:val="24"/>
        </w:rPr>
        <w:t xml:space="preserve">Additionally, in alignment with the </w:t>
      </w:r>
      <w:hyperlink r:id="rId18" w:anchor=":~:text=Pour%20appuyer%20sa%20strat%C3%A9gie%20d,de%20l%27Organisation%20mondiale%20du" w:history="1">
        <w:r w:rsidRPr="00A82BC4">
          <w:rPr>
            <w:rStyle w:val="Lienhypertexte"/>
            <w:rFonts w:ascii="Tw Cen MT" w:hAnsi="Tw Cen MT"/>
            <w:sz w:val="24"/>
            <w:szCs w:val="24"/>
          </w:rPr>
          <w:t>French Strategy for Trade and Economic Support</w:t>
        </w:r>
      </w:hyperlink>
      <w:r w:rsidRPr="00A82BC4">
        <w:rPr>
          <w:rFonts w:ascii="Tw Cen MT" w:hAnsi="Tw Cen MT"/>
          <w:sz w:val="24"/>
          <w:szCs w:val="24"/>
        </w:rPr>
        <w:t xml:space="preserve"> and Trade capacity building programme managed by AFD, </w:t>
      </w:r>
      <w:r w:rsidRPr="005E2E16">
        <w:rPr>
          <w:rFonts w:ascii="Tw Cen MT" w:hAnsi="Tw Cen MT"/>
          <w:b/>
          <w:sz w:val="24"/>
          <w:szCs w:val="24"/>
        </w:rPr>
        <w:t>the assignment aims to assess how SOEs can contribute to the sustainable transformation of the national productive system, while also promoting sustainable trade and facilitating access to international markets</w:t>
      </w:r>
      <w:r w:rsidRPr="00A82BC4">
        <w:rPr>
          <w:rFonts w:ascii="Tw Cen MT" w:hAnsi="Tw Cen MT"/>
          <w:sz w:val="24"/>
          <w:szCs w:val="24"/>
        </w:rPr>
        <w:t>,</w:t>
      </w:r>
      <w:r w:rsidRPr="005E2E16">
        <w:rPr>
          <w:rFonts w:ascii="Tw Cen MT" w:hAnsi="Tw Cen MT"/>
          <w:b/>
          <w:sz w:val="24"/>
          <w:szCs w:val="24"/>
        </w:rPr>
        <w:t xml:space="preserve"> particularly the European Union (EU).</w:t>
      </w:r>
    </w:p>
    <w:p w14:paraId="1183DE1D" w14:textId="77777777" w:rsidR="00A82BC4" w:rsidRDefault="00A82BC4" w:rsidP="00A82BC4">
      <w:pPr>
        <w:pStyle w:val="Sansinterligne"/>
        <w:jc w:val="both"/>
        <w:rPr>
          <w:rFonts w:ascii="Tw Cen MT" w:hAnsi="Tw Cen MT"/>
          <w:sz w:val="24"/>
          <w:szCs w:val="24"/>
        </w:rPr>
      </w:pPr>
    </w:p>
    <w:p w14:paraId="71BADB0C" w14:textId="10C9BE79" w:rsidR="00A82BC4" w:rsidRPr="00A82BC4" w:rsidRDefault="00A82BC4" w:rsidP="00A82BC4">
      <w:pPr>
        <w:pStyle w:val="Sansinterligne"/>
        <w:jc w:val="both"/>
        <w:rPr>
          <w:rFonts w:ascii="Tw Cen MT" w:hAnsi="Tw Cen MT"/>
          <w:sz w:val="24"/>
          <w:szCs w:val="24"/>
        </w:rPr>
      </w:pPr>
      <w:r w:rsidRPr="005E2E16">
        <w:rPr>
          <w:rFonts w:ascii="Tw Cen MT" w:hAnsi="Tw Cen MT"/>
          <w:b/>
          <w:sz w:val="24"/>
          <w:szCs w:val="24"/>
        </w:rPr>
        <w:t>The overarching goal is to guide AFD’s interventions towards effective support for SOEs, enhance the entrepreneurship ecosystem, and promote the sustainable development of sectors with export potential in these two countries</w:t>
      </w:r>
      <w:r w:rsidRPr="00A82BC4">
        <w:rPr>
          <w:rFonts w:ascii="Tw Cen MT" w:hAnsi="Tw Cen MT"/>
          <w:sz w:val="24"/>
          <w:szCs w:val="24"/>
        </w:rPr>
        <w:t>, while fostering economic partnerships based on mutual interest between key local stakeholders and French</w:t>
      </w:r>
      <w:r w:rsidR="005E2E16">
        <w:rPr>
          <w:rFonts w:ascii="Tw Cen MT" w:hAnsi="Tw Cen MT"/>
          <w:sz w:val="24"/>
          <w:szCs w:val="24"/>
        </w:rPr>
        <w:t>/EU</w:t>
      </w:r>
      <w:r w:rsidRPr="00A82BC4">
        <w:rPr>
          <w:rFonts w:ascii="Tw Cen MT" w:hAnsi="Tw Cen MT"/>
          <w:sz w:val="24"/>
          <w:szCs w:val="24"/>
        </w:rPr>
        <w:t xml:space="preserve"> businesses.</w:t>
      </w:r>
    </w:p>
    <w:p w14:paraId="458E643C" w14:textId="77777777" w:rsidR="00CA0E36" w:rsidRPr="00BA1093" w:rsidRDefault="00CA0E36" w:rsidP="00B8096A">
      <w:pPr>
        <w:jc w:val="both"/>
        <w:rPr>
          <w:rFonts w:ascii="Tw Cen MT" w:hAnsi="Tw Cen MT"/>
        </w:rPr>
      </w:pPr>
    </w:p>
    <w:p w14:paraId="02A830BC" w14:textId="77777777" w:rsidR="002B7927" w:rsidRPr="00BA1093" w:rsidRDefault="002B7927" w:rsidP="00B8096A">
      <w:pPr>
        <w:pStyle w:val="Titre1"/>
        <w:spacing w:before="0" w:after="0"/>
        <w:jc w:val="both"/>
        <w:rPr>
          <w:rFonts w:ascii="Tw Cen MT" w:hAnsi="Tw Cen MT"/>
        </w:rPr>
      </w:pPr>
      <w:bookmarkStart w:id="9" w:name="_Toc82590877"/>
      <w:bookmarkStart w:id="10" w:name="_Toc195120123"/>
      <w:r w:rsidRPr="00BA1093">
        <w:rPr>
          <w:rFonts w:ascii="Tw Cen MT" w:hAnsi="Tw Cen MT"/>
        </w:rPr>
        <w:t>Purpose of the contract</w:t>
      </w:r>
      <w:bookmarkEnd w:id="9"/>
      <w:bookmarkEnd w:id="10"/>
    </w:p>
    <w:p w14:paraId="09625519" w14:textId="77777777" w:rsidR="00B34641" w:rsidRPr="00BA1093" w:rsidRDefault="00B34641" w:rsidP="00B8096A">
      <w:pPr>
        <w:jc w:val="both"/>
        <w:rPr>
          <w:rFonts w:ascii="Tw Cen MT" w:hAnsi="Tw Cen MT"/>
        </w:rPr>
      </w:pPr>
    </w:p>
    <w:p w14:paraId="1C67476D" w14:textId="77777777" w:rsidR="007F5116" w:rsidRPr="00BA1093" w:rsidRDefault="007F5116" w:rsidP="004E7EEE">
      <w:pPr>
        <w:jc w:val="both"/>
        <w:rPr>
          <w:rFonts w:ascii="Tw Cen MT" w:hAnsi="Tw Cen MT"/>
        </w:rPr>
      </w:pPr>
    </w:p>
    <w:p w14:paraId="7ADF1927" w14:textId="19426707" w:rsidR="002104E0" w:rsidRDefault="002104E0" w:rsidP="002104E0">
      <w:pPr>
        <w:jc w:val="both"/>
        <w:rPr>
          <w:rFonts w:ascii="Tw Cen MT" w:hAnsi="Tw Cen MT"/>
        </w:rPr>
      </w:pPr>
      <w:r>
        <w:rPr>
          <w:rFonts w:ascii="Tw Cen MT" w:hAnsi="Tw Cen MT"/>
        </w:rPr>
        <w:t>Within the context described above, t</w:t>
      </w:r>
      <w:r w:rsidRPr="007A4202">
        <w:rPr>
          <w:rFonts w:ascii="Tw Cen MT" w:hAnsi="Tw Cen MT"/>
        </w:rPr>
        <w:t xml:space="preserve">he assignment aims at improving AFD’s knowledge of the </w:t>
      </w:r>
      <w:r>
        <w:rPr>
          <w:rFonts w:ascii="Tw Cen MT" w:hAnsi="Tw Cen MT"/>
        </w:rPr>
        <w:t>Georgian and Armenian productive systems</w:t>
      </w:r>
      <w:r w:rsidRPr="007A4202">
        <w:rPr>
          <w:rFonts w:ascii="Tw Cen MT" w:hAnsi="Tw Cen MT"/>
        </w:rPr>
        <w:t xml:space="preserve">, </w:t>
      </w:r>
      <w:r w:rsidR="00A82BC4">
        <w:rPr>
          <w:rFonts w:ascii="Tw Cen MT" w:hAnsi="Tw Cen MT"/>
        </w:rPr>
        <w:t xml:space="preserve">by </w:t>
      </w:r>
      <w:r>
        <w:rPr>
          <w:rFonts w:ascii="Tw Cen MT" w:hAnsi="Tw Cen MT"/>
        </w:rPr>
        <w:t>conducting</w:t>
      </w:r>
      <w:r w:rsidR="00A82BC4">
        <w:rPr>
          <w:rFonts w:ascii="Tw Cen MT" w:hAnsi="Tw Cen MT"/>
        </w:rPr>
        <w:t xml:space="preserve"> a </w:t>
      </w:r>
      <w:r>
        <w:rPr>
          <w:rFonts w:ascii="Tw Cen MT" w:hAnsi="Tw Cen MT"/>
        </w:rPr>
        <w:t>d</w:t>
      </w:r>
      <w:r w:rsidRPr="00BA1093">
        <w:rPr>
          <w:rFonts w:ascii="Tw Cen MT" w:hAnsi="Tw Cen MT"/>
        </w:rPr>
        <w:t>iagnostic of the</w:t>
      </w:r>
      <w:r w:rsidR="00A82BC4">
        <w:rPr>
          <w:rFonts w:ascii="Tw Cen MT" w:hAnsi="Tw Cen MT"/>
        </w:rPr>
        <w:t>se</w:t>
      </w:r>
      <w:r w:rsidRPr="00BA1093">
        <w:rPr>
          <w:rFonts w:ascii="Tw Cen MT" w:hAnsi="Tw Cen MT"/>
        </w:rPr>
        <w:t xml:space="preserve"> system</w:t>
      </w:r>
      <w:r>
        <w:rPr>
          <w:rFonts w:ascii="Tw Cen MT" w:hAnsi="Tw Cen MT"/>
        </w:rPr>
        <w:t>s</w:t>
      </w:r>
      <w:r w:rsidRPr="00BA1093">
        <w:rPr>
          <w:rFonts w:ascii="Tw Cen MT" w:hAnsi="Tw Cen MT"/>
        </w:rPr>
        <w:t xml:space="preserve">, </w:t>
      </w:r>
      <w:r>
        <w:rPr>
          <w:rFonts w:ascii="Tw Cen MT" w:hAnsi="Tw Cen MT"/>
        </w:rPr>
        <w:t xml:space="preserve">analysis of </w:t>
      </w:r>
      <w:r w:rsidRPr="00BA1093">
        <w:rPr>
          <w:rFonts w:ascii="Tw Cen MT" w:hAnsi="Tw Cen MT"/>
        </w:rPr>
        <w:t>role of the SOEs</w:t>
      </w:r>
      <w:r>
        <w:rPr>
          <w:rFonts w:ascii="Tw Cen MT" w:hAnsi="Tw Cen MT"/>
        </w:rPr>
        <w:t xml:space="preserve"> (including their governance), as well as i</w:t>
      </w:r>
      <w:r w:rsidR="00AF6E9D">
        <w:rPr>
          <w:rFonts w:ascii="Tw Cen MT" w:hAnsi="Tw Cen MT"/>
        </w:rPr>
        <w:t>dentifying</w:t>
      </w:r>
      <w:r w:rsidRPr="00BA1093">
        <w:rPr>
          <w:rFonts w:ascii="Tw Cen MT" w:hAnsi="Tw Cen MT"/>
        </w:rPr>
        <w:t xml:space="preserve"> of </w:t>
      </w:r>
      <w:r w:rsidR="00AF6E9D" w:rsidRPr="007A4202">
        <w:rPr>
          <w:rFonts w:ascii="Tw Cen MT" w:hAnsi="Tw Cen MT"/>
        </w:rPr>
        <w:t>overall potential for support by AFD</w:t>
      </w:r>
      <w:r w:rsidR="00AF6E9D" w:rsidRPr="00BA1093">
        <w:rPr>
          <w:rFonts w:ascii="Tw Cen MT" w:hAnsi="Tw Cen MT"/>
        </w:rPr>
        <w:t xml:space="preserve"> </w:t>
      </w:r>
      <w:r w:rsidRPr="00BA1093">
        <w:rPr>
          <w:rFonts w:ascii="Tw Cen MT" w:hAnsi="Tw Cen MT"/>
        </w:rPr>
        <w:t>and strategic recommendations.</w:t>
      </w:r>
    </w:p>
    <w:p w14:paraId="4E10D747" w14:textId="23BAD611" w:rsidR="002104E0" w:rsidRDefault="002104E0" w:rsidP="002104E0">
      <w:pPr>
        <w:jc w:val="both"/>
        <w:rPr>
          <w:rFonts w:ascii="Tw Cen MT" w:hAnsi="Tw Cen MT"/>
        </w:rPr>
      </w:pPr>
    </w:p>
    <w:p w14:paraId="3A3BECB2" w14:textId="57376BBF" w:rsidR="00F078C6" w:rsidRPr="00AF6E9D" w:rsidRDefault="002104E0" w:rsidP="00AF6E9D">
      <w:pPr>
        <w:jc w:val="both"/>
        <w:rPr>
          <w:rFonts w:ascii="Tw Cen MT" w:hAnsi="Tw Cen MT"/>
        </w:rPr>
      </w:pPr>
      <w:r w:rsidRPr="007A4202">
        <w:rPr>
          <w:rFonts w:ascii="Tw Cen MT" w:hAnsi="Tw Cen MT"/>
        </w:rPr>
        <w:t xml:space="preserve">In addition, </w:t>
      </w:r>
      <w:r>
        <w:rPr>
          <w:rFonts w:ascii="Tw Cen MT" w:hAnsi="Tw Cen MT"/>
        </w:rPr>
        <w:t>this assignment</w:t>
      </w:r>
      <w:r w:rsidRPr="007A4202">
        <w:rPr>
          <w:rFonts w:ascii="Tw Cen MT" w:hAnsi="Tw Cen MT"/>
        </w:rPr>
        <w:t xml:space="preserve"> is also meant to </w:t>
      </w:r>
      <w:r w:rsidR="003C2484" w:rsidRPr="003C2484">
        <w:rPr>
          <w:rFonts w:ascii="Tw Cen MT" w:hAnsi="Tw Cen MT"/>
        </w:rPr>
        <w:t>l</w:t>
      </w:r>
      <w:r w:rsidR="00AF6E9D">
        <w:rPr>
          <w:rFonts w:ascii="Tw Cen MT" w:hAnsi="Tw Cen MT"/>
        </w:rPr>
        <w:t>ook</w:t>
      </w:r>
      <w:r w:rsidR="003C2484" w:rsidRPr="003C2484">
        <w:rPr>
          <w:rFonts w:ascii="Tw Cen MT" w:hAnsi="Tw Cen MT"/>
        </w:rPr>
        <w:t xml:space="preserve"> into strengthening the entrepreneurship ecosystem and promoting sustainable trade and facilitating access to international markets (assessing role of SOEs and other actors of the productive systems </w:t>
      </w:r>
      <w:r w:rsidR="003C2484">
        <w:rPr>
          <w:rFonts w:ascii="Tw Cen MT" w:hAnsi="Tw Cen MT"/>
        </w:rPr>
        <w:t>in</w:t>
      </w:r>
      <w:r w:rsidR="003C2484" w:rsidRPr="003C2484">
        <w:rPr>
          <w:rFonts w:ascii="Tw Cen MT" w:hAnsi="Tw Cen MT"/>
        </w:rPr>
        <w:t xml:space="preserve"> both countries).</w:t>
      </w:r>
      <w:r w:rsidR="00F078C6">
        <w:rPr>
          <w:rFonts w:ascii="Tw Cen MT" w:hAnsi="Tw Cen MT"/>
        </w:rPr>
        <w:t xml:space="preserve"> </w:t>
      </w:r>
    </w:p>
    <w:p w14:paraId="4F1E827E" w14:textId="7096F151" w:rsidR="00216BE2" w:rsidRPr="00BA1093" w:rsidRDefault="00216BE2" w:rsidP="00B8096A">
      <w:pPr>
        <w:jc w:val="both"/>
        <w:rPr>
          <w:rFonts w:ascii="Tw Cen MT" w:hAnsi="Tw Cen MT"/>
          <w:i/>
        </w:rPr>
      </w:pPr>
    </w:p>
    <w:p w14:paraId="4AB45FC3" w14:textId="77777777" w:rsidR="00BB118B" w:rsidRPr="00BA1093" w:rsidRDefault="00BB118B" w:rsidP="00B8096A">
      <w:pPr>
        <w:jc w:val="both"/>
        <w:rPr>
          <w:rFonts w:ascii="Tw Cen MT" w:hAnsi="Tw Cen MT"/>
        </w:rPr>
      </w:pPr>
    </w:p>
    <w:p w14:paraId="04CAA711" w14:textId="77777777" w:rsidR="00BB118B" w:rsidRPr="00BA1093" w:rsidRDefault="00BB118B" w:rsidP="00B8096A">
      <w:pPr>
        <w:pStyle w:val="Titre1"/>
        <w:spacing w:before="0" w:after="0"/>
        <w:jc w:val="both"/>
        <w:rPr>
          <w:rFonts w:ascii="Tw Cen MT" w:hAnsi="Tw Cen MT"/>
          <w:i/>
        </w:rPr>
      </w:pPr>
      <w:bookmarkStart w:id="11" w:name="_Toc322967813"/>
      <w:bookmarkStart w:id="12" w:name="_Toc82590878"/>
      <w:bookmarkStart w:id="13" w:name="_Toc195120124"/>
      <w:r w:rsidRPr="00BA1093">
        <w:rPr>
          <w:rFonts w:ascii="Tw Cen MT" w:hAnsi="Tw Cen MT"/>
        </w:rPr>
        <w:t xml:space="preserve">Service expected under </w:t>
      </w:r>
      <w:bookmarkEnd w:id="11"/>
      <w:r w:rsidRPr="00BA1093">
        <w:rPr>
          <w:rFonts w:ascii="Tw Cen MT" w:hAnsi="Tw Cen MT"/>
        </w:rPr>
        <w:t>this tender</w:t>
      </w:r>
      <w:bookmarkEnd w:id="12"/>
      <w:bookmarkEnd w:id="13"/>
    </w:p>
    <w:p w14:paraId="6D77E7E0" w14:textId="77777777" w:rsidR="00BB118B" w:rsidRPr="00BA1093" w:rsidRDefault="00BB118B" w:rsidP="00B8096A">
      <w:pPr>
        <w:jc w:val="both"/>
        <w:rPr>
          <w:rFonts w:ascii="Tw Cen MT" w:hAnsi="Tw Cen MT"/>
          <w:b/>
          <w:bCs/>
          <w:i/>
        </w:rPr>
      </w:pPr>
    </w:p>
    <w:p w14:paraId="36B97A47" w14:textId="4F59346A" w:rsidR="00860174" w:rsidRPr="00802390" w:rsidRDefault="00BB118B" w:rsidP="00860174">
      <w:pPr>
        <w:pStyle w:val="Titre2"/>
        <w:spacing w:before="0"/>
        <w:jc w:val="both"/>
        <w:rPr>
          <w:rFonts w:ascii="Tw Cen MT" w:hAnsi="Tw Cen MT"/>
        </w:rPr>
      </w:pPr>
      <w:bookmarkStart w:id="14" w:name="_Toc322967814"/>
      <w:bookmarkStart w:id="15" w:name="_Toc82590879"/>
      <w:bookmarkStart w:id="16" w:name="_Toc195120125"/>
      <w:r w:rsidRPr="00BA1093">
        <w:rPr>
          <w:rFonts w:ascii="Tw Cen MT" w:hAnsi="Tw Cen MT"/>
        </w:rPr>
        <w:t>Details of the expected service</w:t>
      </w:r>
      <w:bookmarkEnd w:id="14"/>
      <w:bookmarkEnd w:id="15"/>
      <w:bookmarkEnd w:id="16"/>
    </w:p>
    <w:p w14:paraId="52BF651F" w14:textId="77777777" w:rsidR="00AF4A2F" w:rsidRDefault="00AF4A2F" w:rsidP="00AF4A2F">
      <w:pPr>
        <w:pStyle w:val="Sansinterligne"/>
        <w:ind w:left="1080"/>
        <w:jc w:val="both"/>
        <w:rPr>
          <w:rFonts w:ascii="Tw Cen MT" w:hAnsi="Tw Cen MT"/>
          <w:b/>
          <w:sz w:val="24"/>
          <w:szCs w:val="24"/>
          <w:u w:val="single"/>
        </w:rPr>
      </w:pPr>
    </w:p>
    <w:p w14:paraId="57D23ADB" w14:textId="11C1CC18" w:rsidR="00860174" w:rsidRDefault="00860174" w:rsidP="005D6D82">
      <w:pPr>
        <w:pStyle w:val="Sansinterligne"/>
        <w:numPr>
          <w:ilvl w:val="0"/>
          <w:numId w:val="18"/>
        </w:numPr>
        <w:jc w:val="both"/>
        <w:rPr>
          <w:rFonts w:ascii="Tw Cen MT" w:hAnsi="Tw Cen MT"/>
          <w:b/>
          <w:sz w:val="24"/>
          <w:szCs w:val="24"/>
          <w:u w:val="single"/>
        </w:rPr>
      </w:pPr>
      <w:r w:rsidRPr="00BA1093">
        <w:rPr>
          <w:rFonts w:ascii="Tw Cen MT" w:hAnsi="Tw Cen MT"/>
          <w:b/>
          <w:sz w:val="24"/>
          <w:szCs w:val="24"/>
          <w:u w:val="single"/>
        </w:rPr>
        <w:t xml:space="preserve">Component </w:t>
      </w:r>
      <w:proofErr w:type="gramStart"/>
      <w:r w:rsidRPr="00BA1093">
        <w:rPr>
          <w:rFonts w:ascii="Tw Cen MT" w:hAnsi="Tw Cen MT"/>
          <w:b/>
          <w:sz w:val="24"/>
          <w:szCs w:val="24"/>
          <w:u w:val="single"/>
        </w:rPr>
        <w:t>1 :</w:t>
      </w:r>
      <w:proofErr w:type="gramEnd"/>
      <w:r w:rsidRPr="00BA1093">
        <w:rPr>
          <w:rFonts w:ascii="Tw Cen MT" w:hAnsi="Tw Cen MT"/>
          <w:b/>
          <w:sz w:val="24"/>
          <w:szCs w:val="24"/>
          <w:u w:val="single"/>
        </w:rPr>
        <w:t xml:space="preserve"> Diagnostic of the productive system</w:t>
      </w:r>
      <w:r w:rsidR="005D6D82">
        <w:rPr>
          <w:rFonts w:ascii="Tw Cen MT" w:hAnsi="Tw Cen MT"/>
          <w:b/>
          <w:sz w:val="24"/>
          <w:szCs w:val="24"/>
          <w:u w:val="single"/>
        </w:rPr>
        <w:t>s</w:t>
      </w:r>
      <w:r w:rsidRPr="00BA1093">
        <w:rPr>
          <w:rFonts w:ascii="Tw Cen MT" w:hAnsi="Tw Cen MT"/>
          <w:b/>
          <w:sz w:val="24"/>
          <w:szCs w:val="24"/>
          <w:u w:val="single"/>
        </w:rPr>
        <w:t xml:space="preserve">, role of the SOEs </w:t>
      </w:r>
      <w:r w:rsidR="00A23257">
        <w:rPr>
          <w:rFonts w:ascii="Tw Cen MT" w:hAnsi="Tw Cen MT"/>
          <w:b/>
          <w:sz w:val="24"/>
          <w:szCs w:val="24"/>
          <w:u w:val="single"/>
        </w:rPr>
        <w:t>(</w:t>
      </w:r>
      <w:r w:rsidR="00A23257" w:rsidRPr="00A23257">
        <w:rPr>
          <w:rFonts w:ascii="Tw Cen MT" w:hAnsi="Tw Cen MT"/>
          <w:b/>
          <w:sz w:val="24"/>
          <w:szCs w:val="24"/>
          <w:u w:val="single"/>
        </w:rPr>
        <w:t xml:space="preserve">including </w:t>
      </w:r>
      <w:r w:rsidR="00A23257">
        <w:rPr>
          <w:rFonts w:ascii="Tw Cen MT" w:hAnsi="Tw Cen MT"/>
          <w:b/>
          <w:sz w:val="24"/>
          <w:szCs w:val="24"/>
          <w:u w:val="single"/>
        </w:rPr>
        <w:t>their governance)</w:t>
      </w:r>
      <w:r w:rsidR="005D6D82">
        <w:rPr>
          <w:rFonts w:ascii="Tw Cen MT" w:hAnsi="Tw Cen MT"/>
          <w:b/>
          <w:sz w:val="24"/>
          <w:szCs w:val="24"/>
          <w:u w:val="single"/>
        </w:rPr>
        <w:t>, its challenges and needs,</w:t>
      </w:r>
      <w:r w:rsidR="005D6D82" w:rsidRPr="005D6D82">
        <w:rPr>
          <w:rFonts w:ascii="Tw Cen MT" w:hAnsi="Tw Cen MT"/>
          <w:b/>
          <w:sz w:val="24"/>
          <w:szCs w:val="24"/>
          <w:u w:val="single"/>
        </w:rPr>
        <w:t xml:space="preserve"> and entrepreneurial ecosystem analysis</w:t>
      </w:r>
    </w:p>
    <w:p w14:paraId="0A35647C" w14:textId="77777777" w:rsidR="005D6D82" w:rsidRPr="005D6D82" w:rsidRDefault="005D6D82" w:rsidP="005D6D82">
      <w:pPr>
        <w:pStyle w:val="Sansinterligne"/>
        <w:ind w:left="1080"/>
        <w:jc w:val="both"/>
        <w:rPr>
          <w:rFonts w:ascii="Tw Cen MT" w:hAnsi="Tw Cen MT"/>
          <w:b/>
          <w:sz w:val="24"/>
          <w:szCs w:val="24"/>
          <w:u w:val="single"/>
        </w:rPr>
      </w:pPr>
    </w:p>
    <w:p w14:paraId="3728C916" w14:textId="637DF1B1" w:rsidR="00860174" w:rsidRPr="00BA1093" w:rsidRDefault="00130672" w:rsidP="00130672">
      <w:pPr>
        <w:pStyle w:val="Sansinterligne"/>
        <w:spacing w:after="120"/>
        <w:jc w:val="both"/>
        <w:rPr>
          <w:rFonts w:ascii="Tw Cen MT" w:hAnsi="Tw Cen MT"/>
          <w:sz w:val="24"/>
          <w:szCs w:val="24"/>
        </w:rPr>
      </w:pPr>
      <w:r>
        <w:rPr>
          <w:rFonts w:ascii="Tw Cen MT" w:hAnsi="Tw Cen MT"/>
          <w:sz w:val="24"/>
          <w:szCs w:val="24"/>
        </w:rPr>
        <w:t>The Consultant is expected to c</w:t>
      </w:r>
      <w:r w:rsidR="00232A91">
        <w:rPr>
          <w:rFonts w:ascii="Tw Cen MT" w:hAnsi="Tw Cen MT"/>
          <w:sz w:val="24"/>
          <w:szCs w:val="24"/>
        </w:rPr>
        <w:t xml:space="preserve">arry out an analysis of Georgia and Armenia’ </w:t>
      </w:r>
      <w:r w:rsidR="00860174" w:rsidRPr="00BA1093">
        <w:rPr>
          <w:rFonts w:ascii="Tw Cen MT" w:hAnsi="Tw Cen MT"/>
          <w:sz w:val="24"/>
          <w:szCs w:val="24"/>
        </w:rPr>
        <w:t>productive system</w:t>
      </w:r>
      <w:r w:rsidR="00232A91">
        <w:rPr>
          <w:rFonts w:ascii="Tw Cen MT" w:hAnsi="Tw Cen MT"/>
          <w:sz w:val="24"/>
          <w:szCs w:val="24"/>
        </w:rPr>
        <w:t>s</w:t>
      </w:r>
      <w:r w:rsidR="00860174" w:rsidRPr="00BA1093">
        <w:rPr>
          <w:rFonts w:ascii="Tw Cen MT" w:hAnsi="Tw Cen MT"/>
          <w:sz w:val="24"/>
          <w:szCs w:val="24"/>
        </w:rPr>
        <w:t xml:space="preserve"> and the SOEs’ role, which covers at least the issues and themes listed below.</w:t>
      </w:r>
    </w:p>
    <w:p w14:paraId="32B72F8E" w14:textId="1DC26D1B" w:rsidR="00860174" w:rsidRPr="00BA1093" w:rsidRDefault="00860174" w:rsidP="00860174">
      <w:pPr>
        <w:pStyle w:val="Sansinterligne"/>
        <w:numPr>
          <w:ilvl w:val="0"/>
          <w:numId w:val="20"/>
        </w:numPr>
        <w:jc w:val="both"/>
        <w:rPr>
          <w:rFonts w:ascii="Tw Cen MT" w:hAnsi="Tw Cen MT"/>
          <w:sz w:val="24"/>
          <w:szCs w:val="24"/>
        </w:rPr>
      </w:pPr>
      <w:r w:rsidRPr="00BA1093">
        <w:rPr>
          <w:rFonts w:ascii="Tw Cen MT" w:hAnsi="Tw Cen MT"/>
          <w:b/>
          <w:sz w:val="24"/>
          <w:szCs w:val="24"/>
        </w:rPr>
        <w:lastRenderedPageBreak/>
        <w:t>Overall architecture of the productive syst</w:t>
      </w:r>
      <w:r w:rsidR="00B01DA5">
        <w:rPr>
          <w:rFonts w:ascii="Tw Cen MT" w:hAnsi="Tw Cen MT"/>
          <w:b/>
          <w:sz w:val="24"/>
          <w:szCs w:val="24"/>
        </w:rPr>
        <w:t>em and the role of the SOEs</w:t>
      </w:r>
    </w:p>
    <w:p w14:paraId="38A816E7" w14:textId="77777777" w:rsidR="00860174" w:rsidRPr="00BA1093" w:rsidRDefault="00860174" w:rsidP="00860174">
      <w:pPr>
        <w:pStyle w:val="Paragraphedeliste"/>
        <w:rPr>
          <w:rFonts w:ascii="Tw Cen MT" w:hAnsi="Tw Cen MT"/>
          <w:sz w:val="24"/>
          <w:szCs w:val="24"/>
        </w:rPr>
      </w:pPr>
      <w:r w:rsidRPr="00BA1093">
        <w:rPr>
          <w:rFonts w:ascii="Tw Cen MT" w:hAnsi="Tw Cen MT"/>
          <w:sz w:val="24"/>
          <w:szCs w:val="24"/>
        </w:rPr>
        <w:t>This component of the analysis should specifically address the following guiding questions:</w:t>
      </w:r>
    </w:p>
    <w:p w14:paraId="23837E3A" w14:textId="1041ABB1" w:rsidR="00860174" w:rsidRPr="00BA1093" w:rsidRDefault="00860174" w:rsidP="00860174">
      <w:pPr>
        <w:pStyle w:val="Paragraphedeliste"/>
        <w:rPr>
          <w:rFonts w:ascii="Tw Cen MT" w:hAnsi="Tw Cen MT"/>
          <w:sz w:val="24"/>
          <w:szCs w:val="24"/>
        </w:rPr>
      </w:pPr>
      <w:r w:rsidRPr="00BA1093">
        <w:rPr>
          <w:rFonts w:ascii="Tw Cen MT" w:hAnsi="Tw Cen MT"/>
          <w:sz w:val="24"/>
          <w:szCs w:val="24"/>
        </w:rPr>
        <w:t>What are the key economic sectors? What is a mix of private</w:t>
      </w:r>
      <w:r w:rsidRPr="00816B3E">
        <w:rPr>
          <w:rFonts w:ascii="Tw Cen MT" w:hAnsi="Tw Cen MT"/>
          <w:b/>
          <w:i/>
          <w:color w:val="0070C0"/>
          <w:sz w:val="24"/>
          <w:szCs w:val="24"/>
          <w:vertAlign w:val="superscript"/>
        </w:rPr>
        <w:t xml:space="preserve"> </w:t>
      </w:r>
      <w:r w:rsidRPr="00BA1093">
        <w:rPr>
          <w:rFonts w:ascii="Tw Cen MT" w:hAnsi="Tw Cen MT"/>
          <w:sz w:val="24"/>
          <w:szCs w:val="24"/>
        </w:rPr>
        <w:t xml:space="preserve">and public sector activities? What is the SOEs contribution/involvement? </w:t>
      </w:r>
      <w:r w:rsidR="00041BB5">
        <w:t>What are the emerging sectors with high growth potential, and what is the role of SOEs in these sectors?</w:t>
      </w:r>
    </w:p>
    <w:p w14:paraId="068E368A" w14:textId="77777777" w:rsidR="00860174" w:rsidRPr="00BA1093" w:rsidRDefault="00860174" w:rsidP="00860174">
      <w:pPr>
        <w:pStyle w:val="Paragraphedeliste"/>
        <w:numPr>
          <w:ilvl w:val="0"/>
          <w:numId w:val="19"/>
        </w:numPr>
        <w:rPr>
          <w:rFonts w:ascii="Tw Cen MT" w:hAnsi="Tw Cen MT"/>
          <w:b/>
          <w:color w:val="808080" w:themeColor="background1" w:themeShade="80"/>
          <w:sz w:val="24"/>
          <w:szCs w:val="24"/>
        </w:rPr>
      </w:pPr>
      <w:r w:rsidRPr="00BA1093">
        <w:rPr>
          <w:rFonts w:ascii="Tw Cen MT" w:hAnsi="Tw Cen MT"/>
          <w:b/>
          <w:sz w:val="24"/>
          <w:szCs w:val="24"/>
        </w:rPr>
        <w:t>SOEs Regulation and supervision</w:t>
      </w:r>
      <w:r w:rsidRPr="00BA1093">
        <w:rPr>
          <w:rFonts w:ascii="Tw Cen MT" w:hAnsi="Tw Cen MT"/>
          <w:b/>
          <w:color w:val="808080" w:themeColor="background1" w:themeShade="80"/>
          <w:sz w:val="24"/>
          <w:szCs w:val="24"/>
        </w:rPr>
        <w:t xml:space="preserve"> </w:t>
      </w:r>
    </w:p>
    <w:p w14:paraId="18CEF9D7" w14:textId="77777777" w:rsidR="00860174" w:rsidRPr="00BA1093" w:rsidRDefault="00860174" w:rsidP="00860174">
      <w:pPr>
        <w:pStyle w:val="Paragraphedeliste"/>
        <w:rPr>
          <w:rFonts w:ascii="Tw Cen MT" w:hAnsi="Tw Cen MT"/>
          <w:b/>
          <w:color w:val="808080" w:themeColor="background1" w:themeShade="80"/>
          <w:sz w:val="24"/>
          <w:szCs w:val="24"/>
        </w:rPr>
      </w:pPr>
      <w:r w:rsidRPr="00BA1093">
        <w:rPr>
          <w:rFonts w:ascii="Tw Cen MT" w:hAnsi="Tw Cen MT"/>
          <w:sz w:val="24"/>
          <w:szCs w:val="24"/>
        </w:rPr>
        <w:t>This component of the analysis should specifically address the following guiding questions: How is the SOEs supervision organised (key regulatory bodies)? What are the ongoing reforms and their potential impacts on SOEs? What are the applicable rules (legal and regulatory frameworks)?</w:t>
      </w:r>
    </w:p>
    <w:p w14:paraId="57537F4D" w14:textId="77777777" w:rsidR="00860174" w:rsidRPr="00BA1093" w:rsidRDefault="00860174" w:rsidP="00860174">
      <w:pPr>
        <w:pStyle w:val="Paragraphedeliste"/>
        <w:numPr>
          <w:ilvl w:val="0"/>
          <w:numId w:val="19"/>
        </w:numPr>
        <w:rPr>
          <w:rFonts w:ascii="Tw Cen MT" w:hAnsi="Tw Cen MT"/>
          <w:sz w:val="24"/>
          <w:szCs w:val="24"/>
        </w:rPr>
      </w:pPr>
      <w:r w:rsidRPr="00BA1093">
        <w:rPr>
          <w:rFonts w:ascii="Tw Cen MT" w:hAnsi="Tw Cen MT"/>
          <w:b/>
          <w:sz w:val="24"/>
          <w:szCs w:val="24"/>
        </w:rPr>
        <w:t>Governance and Performance of the major SOEs</w:t>
      </w:r>
    </w:p>
    <w:p w14:paraId="4DBA052D" w14:textId="6270056A" w:rsidR="005318A1" w:rsidRDefault="00860174" w:rsidP="00724343">
      <w:pPr>
        <w:pStyle w:val="Paragraphedeliste"/>
        <w:rPr>
          <w:rFonts w:ascii="Tw Cen MT" w:hAnsi="Tw Cen MT"/>
          <w:sz w:val="24"/>
          <w:szCs w:val="24"/>
        </w:rPr>
      </w:pPr>
      <w:r w:rsidRPr="00BA1093">
        <w:rPr>
          <w:rFonts w:ascii="Tw Cen MT" w:hAnsi="Tw Cen MT"/>
          <w:sz w:val="24"/>
          <w:szCs w:val="24"/>
        </w:rPr>
        <w:t xml:space="preserve">This should include the financial </w:t>
      </w:r>
      <w:r w:rsidR="00A23257" w:rsidRPr="00BA1093">
        <w:rPr>
          <w:rFonts w:ascii="Tw Cen MT" w:hAnsi="Tw Cen MT"/>
          <w:sz w:val="24"/>
          <w:szCs w:val="24"/>
        </w:rPr>
        <w:t>analysi</w:t>
      </w:r>
      <w:r w:rsidR="00A23257">
        <w:rPr>
          <w:rFonts w:ascii="Tw Cen MT" w:hAnsi="Tw Cen MT"/>
          <w:sz w:val="24"/>
          <w:szCs w:val="24"/>
        </w:rPr>
        <w:t>s of</w:t>
      </w:r>
      <w:r w:rsidR="00A23257" w:rsidRPr="00BA1093">
        <w:rPr>
          <w:rFonts w:ascii="Tw Cen MT" w:hAnsi="Tw Cen MT"/>
          <w:sz w:val="24"/>
          <w:szCs w:val="24"/>
        </w:rPr>
        <w:t xml:space="preserve"> </w:t>
      </w:r>
      <w:r w:rsidRPr="00BA1093">
        <w:rPr>
          <w:rFonts w:ascii="Tw Cen MT" w:hAnsi="Tw Cen MT"/>
          <w:sz w:val="24"/>
          <w:szCs w:val="24"/>
        </w:rPr>
        <w:t>the SOEs’ (</w:t>
      </w:r>
      <w:r w:rsidR="00D10EE8">
        <w:rPr>
          <w:rFonts w:ascii="Tw Cen MT" w:hAnsi="Tw Cen MT"/>
          <w:sz w:val="24"/>
          <w:szCs w:val="24"/>
        </w:rPr>
        <w:t xml:space="preserve">shareholding structure, influence of the State, </w:t>
      </w:r>
      <w:r w:rsidR="00A23257">
        <w:rPr>
          <w:rFonts w:ascii="Tw Cen MT" w:hAnsi="Tw Cen MT"/>
          <w:sz w:val="24"/>
          <w:szCs w:val="24"/>
        </w:rPr>
        <w:t xml:space="preserve">covering </w:t>
      </w:r>
      <w:r w:rsidRPr="00BA1093">
        <w:rPr>
          <w:rFonts w:ascii="Tw Cen MT" w:hAnsi="Tw Cen MT"/>
          <w:sz w:val="24"/>
          <w:szCs w:val="24"/>
        </w:rPr>
        <w:t xml:space="preserve">profitability, solvency, liquidity, </w:t>
      </w:r>
      <w:r w:rsidR="00A23257">
        <w:rPr>
          <w:rFonts w:ascii="Tw Cen MT" w:hAnsi="Tw Cen MT"/>
          <w:sz w:val="24"/>
          <w:szCs w:val="24"/>
        </w:rPr>
        <w:t>foreign exchange (</w:t>
      </w:r>
      <w:r w:rsidRPr="00BA1093">
        <w:rPr>
          <w:rFonts w:ascii="Tw Cen MT" w:hAnsi="Tw Cen MT"/>
          <w:sz w:val="24"/>
          <w:szCs w:val="24"/>
        </w:rPr>
        <w:t>FX</w:t>
      </w:r>
      <w:r w:rsidR="00A23257">
        <w:rPr>
          <w:rFonts w:ascii="Tw Cen MT" w:hAnsi="Tw Cen MT"/>
          <w:sz w:val="24"/>
          <w:szCs w:val="24"/>
        </w:rPr>
        <w:t>)</w:t>
      </w:r>
      <w:r w:rsidRPr="00BA1093">
        <w:rPr>
          <w:rFonts w:ascii="Tw Cen MT" w:hAnsi="Tw Cen MT"/>
          <w:sz w:val="24"/>
          <w:szCs w:val="24"/>
        </w:rPr>
        <w:t xml:space="preserve"> exposure</w:t>
      </w:r>
      <w:r w:rsidR="00A23257">
        <w:rPr>
          <w:rFonts w:ascii="Tw Cen MT" w:hAnsi="Tw Cen MT"/>
          <w:sz w:val="24"/>
          <w:szCs w:val="24"/>
        </w:rPr>
        <w:t>, debt sustainability,</w:t>
      </w:r>
      <w:r w:rsidR="00A23257" w:rsidRPr="00942B06">
        <w:rPr>
          <w:rFonts w:ascii="Tw Cen MT" w:hAnsi="Tw Cen MT"/>
          <w:sz w:val="24"/>
          <w:szCs w:val="24"/>
        </w:rPr>
        <w:t xml:space="preserve"> and their capacity to attract external financing</w:t>
      </w:r>
      <w:r w:rsidRPr="00BA1093">
        <w:rPr>
          <w:rFonts w:ascii="Tw Cen MT" w:hAnsi="Tw Cen MT"/>
          <w:sz w:val="24"/>
          <w:szCs w:val="24"/>
        </w:rPr>
        <w:t>)</w:t>
      </w:r>
      <w:r w:rsidR="00A23257">
        <w:rPr>
          <w:rFonts w:ascii="Tw Cen MT" w:hAnsi="Tw Cen MT"/>
          <w:sz w:val="24"/>
          <w:szCs w:val="24"/>
        </w:rPr>
        <w:t>.</w:t>
      </w:r>
      <w:r w:rsidRPr="00BA1093">
        <w:rPr>
          <w:rFonts w:ascii="Tw Cen MT" w:hAnsi="Tw Cen MT"/>
          <w:sz w:val="24"/>
          <w:szCs w:val="24"/>
        </w:rPr>
        <w:t xml:space="preserve"> This should also address the SOEs’ governance framework/structure assessment (including</w:t>
      </w:r>
      <w:r w:rsidR="00A23257">
        <w:rPr>
          <w:rFonts w:ascii="Tw Cen MT" w:hAnsi="Tw Cen MT"/>
          <w:sz w:val="24"/>
          <w:szCs w:val="24"/>
        </w:rPr>
        <w:t xml:space="preserve"> evaluation how</w:t>
      </w:r>
      <w:r w:rsidR="00942B06">
        <w:rPr>
          <w:rFonts w:ascii="Tw Cen MT" w:hAnsi="Tw Cen MT"/>
          <w:sz w:val="24"/>
          <w:szCs w:val="24"/>
        </w:rPr>
        <w:t xml:space="preserve"> </w:t>
      </w:r>
      <w:r w:rsidR="00A23257" w:rsidRPr="00942B06">
        <w:rPr>
          <w:rFonts w:ascii="Tw Cen MT" w:hAnsi="Tw Cen MT"/>
          <w:sz w:val="24"/>
          <w:szCs w:val="24"/>
        </w:rPr>
        <w:t>Environmental, Social, and Governance (</w:t>
      </w:r>
      <w:r w:rsidRPr="00BA1093">
        <w:rPr>
          <w:rFonts w:ascii="Tw Cen MT" w:hAnsi="Tw Cen MT"/>
          <w:sz w:val="24"/>
          <w:szCs w:val="24"/>
        </w:rPr>
        <w:t>ESG</w:t>
      </w:r>
      <w:r w:rsidR="00A23257">
        <w:rPr>
          <w:rFonts w:ascii="Tw Cen MT" w:hAnsi="Tw Cen MT"/>
          <w:sz w:val="24"/>
          <w:szCs w:val="24"/>
        </w:rPr>
        <w:t>)</w:t>
      </w:r>
      <w:r w:rsidRPr="00BA1093">
        <w:rPr>
          <w:rFonts w:ascii="Tw Cen MT" w:hAnsi="Tw Cen MT"/>
          <w:sz w:val="24"/>
          <w:szCs w:val="24"/>
        </w:rPr>
        <w:t xml:space="preserve"> </w:t>
      </w:r>
      <w:r w:rsidR="00A23257" w:rsidRPr="00942B06">
        <w:rPr>
          <w:rFonts w:ascii="Tw Cen MT" w:hAnsi="Tw Cen MT"/>
          <w:sz w:val="24"/>
          <w:szCs w:val="24"/>
        </w:rPr>
        <w:t>criteria are integrated into SOEs’ operations and decision-making processes</w:t>
      </w:r>
      <w:r w:rsidR="00942B06" w:rsidRPr="00942B06">
        <w:rPr>
          <w:rFonts w:ascii="Tw Cen MT" w:hAnsi="Tw Cen MT"/>
          <w:sz w:val="24"/>
          <w:szCs w:val="24"/>
        </w:rPr>
        <w:t>/ESG</w:t>
      </w:r>
      <w:r w:rsidR="00A23257" w:rsidRPr="00942B06">
        <w:rPr>
          <w:rFonts w:ascii="Tw Cen MT" w:hAnsi="Tw Cen MT"/>
          <w:sz w:val="24"/>
          <w:szCs w:val="24"/>
        </w:rPr>
        <w:t xml:space="preserve"> </w:t>
      </w:r>
      <w:r w:rsidRPr="00BA1093">
        <w:rPr>
          <w:rFonts w:ascii="Tw Cen MT" w:hAnsi="Tw Cen MT"/>
          <w:sz w:val="24"/>
          <w:szCs w:val="24"/>
        </w:rPr>
        <w:t>practices); What are the main risks and ob</w:t>
      </w:r>
      <w:r w:rsidR="00B01DA5">
        <w:rPr>
          <w:rFonts w:ascii="Tw Cen MT" w:hAnsi="Tw Cen MT"/>
          <w:sz w:val="24"/>
          <w:szCs w:val="24"/>
        </w:rPr>
        <w:t>stacles to the sectors activity?</w:t>
      </w:r>
    </w:p>
    <w:p w14:paraId="3E036E01" w14:textId="11EB67DC" w:rsidR="00816B3E" w:rsidRPr="00130672" w:rsidRDefault="00816B3E" w:rsidP="00130672">
      <w:pPr>
        <w:pStyle w:val="Paragraphedeliste"/>
        <w:numPr>
          <w:ilvl w:val="0"/>
          <w:numId w:val="19"/>
        </w:numPr>
        <w:rPr>
          <w:rFonts w:ascii="Tw Cen MT" w:hAnsi="Tw Cen MT"/>
          <w:b/>
          <w:sz w:val="24"/>
          <w:szCs w:val="24"/>
        </w:rPr>
      </w:pPr>
      <w:r w:rsidRPr="00130672">
        <w:rPr>
          <w:rFonts w:ascii="Tw Cen MT" w:hAnsi="Tw Cen MT"/>
          <w:b/>
          <w:sz w:val="24"/>
          <w:szCs w:val="24"/>
        </w:rPr>
        <w:t>Sectoral Structuring Needs and Support for Export &amp; Development</w:t>
      </w:r>
    </w:p>
    <w:p w14:paraId="24A002CB" w14:textId="77777777" w:rsidR="00816B3E" w:rsidRPr="00130672" w:rsidRDefault="00816B3E" w:rsidP="00130672">
      <w:pPr>
        <w:pStyle w:val="Sansinterligne"/>
        <w:spacing w:after="120"/>
        <w:ind w:left="709"/>
        <w:jc w:val="both"/>
        <w:rPr>
          <w:rFonts w:ascii="Tw Cen MT" w:hAnsi="Tw Cen MT"/>
          <w:sz w:val="24"/>
          <w:szCs w:val="24"/>
        </w:rPr>
      </w:pPr>
      <w:r w:rsidRPr="00130672">
        <w:rPr>
          <w:rFonts w:ascii="Tw Cen MT" w:hAnsi="Tw Cen MT"/>
          <w:sz w:val="24"/>
          <w:szCs w:val="24"/>
        </w:rPr>
        <w:t>This should include the assessment of the sectoral structuring needs, particularly related to export readiness and alignment with the international/EU market; outlining the market dynamics, export barriers, and trade regulations, particularly concerning access to the EU market.</w:t>
      </w:r>
    </w:p>
    <w:p w14:paraId="2997E4D6" w14:textId="77777777" w:rsidR="00816B3E" w:rsidRPr="00130672" w:rsidRDefault="00816B3E" w:rsidP="00130672">
      <w:pPr>
        <w:pStyle w:val="Sansinterligne"/>
        <w:numPr>
          <w:ilvl w:val="1"/>
          <w:numId w:val="20"/>
        </w:numPr>
        <w:spacing w:after="120"/>
        <w:ind w:left="1434" w:hanging="357"/>
        <w:jc w:val="both"/>
        <w:rPr>
          <w:rFonts w:ascii="Tw Cen MT" w:hAnsi="Tw Cen MT"/>
          <w:sz w:val="24"/>
          <w:szCs w:val="24"/>
        </w:rPr>
      </w:pPr>
      <w:r w:rsidRPr="00130672">
        <w:rPr>
          <w:rFonts w:ascii="Tw Cen MT" w:hAnsi="Tw Cen MT"/>
          <w:sz w:val="24"/>
          <w:szCs w:val="24"/>
        </w:rPr>
        <w:t>Needs identification: Review the commercial strategy of both countries and their positioning with respect to the EU market. Identify relevant government agencies and public entities responsible for supporting export-readiness and trade facilitation. Map SOEs involved in export sectors, identifying their role and needs for improving their export capacity.  Identify the key trade barriers these SOEs face, including technical, regulatory, and operational issues. Assess country existing services to support export-oriented businesses, including services from agencies such as Business France or similar trade promotion agencies. Highlight existing support mechanisms.</w:t>
      </w:r>
    </w:p>
    <w:p w14:paraId="5123DE3A" w14:textId="7AD6BA71" w:rsidR="00816B3E" w:rsidRPr="00130672" w:rsidRDefault="00816B3E" w:rsidP="00130672">
      <w:pPr>
        <w:pStyle w:val="Sansinterligne"/>
        <w:numPr>
          <w:ilvl w:val="1"/>
          <w:numId w:val="20"/>
        </w:numPr>
        <w:jc w:val="both"/>
        <w:rPr>
          <w:rFonts w:ascii="Tw Cen MT" w:hAnsi="Tw Cen MT"/>
          <w:sz w:val="24"/>
          <w:szCs w:val="24"/>
        </w:rPr>
      </w:pPr>
      <w:r w:rsidRPr="00130672">
        <w:rPr>
          <w:rFonts w:ascii="Tw Cen MT" w:hAnsi="Tw Cen MT"/>
          <w:sz w:val="24"/>
          <w:szCs w:val="24"/>
        </w:rPr>
        <w:t xml:space="preserve">Strategic Recommendations for support: Highlight opportunities for support SOEs (incl. </w:t>
      </w:r>
      <w:r w:rsidR="00130672" w:rsidRPr="00130672">
        <w:rPr>
          <w:rFonts w:ascii="Tw Cen MT" w:hAnsi="Tw Cen MT"/>
          <w:sz w:val="24"/>
          <w:szCs w:val="24"/>
        </w:rPr>
        <w:t xml:space="preserve">potential capacity </w:t>
      </w:r>
      <w:r w:rsidRPr="00130672">
        <w:rPr>
          <w:rFonts w:ascii="Tw Cen MT" w:hAnsi="Tw Cen MT"/>
          <w:sz w:val="24"/>
          <w:szCs w:val="24"/>
        </w:rPr>
        <w:t>building</w:t>
      </w:r>
      <w:r w:rsidR="00130672" w:rsidRPr="00130672">
        <w:rPr>
          <w:rFonts w:ascii="Tw Cen MT" w:hAnsi="Tw Cen MT"/>
          <w:sz w:val="24"/>
          <w:szCs w:val="24"/>
        </w:rPr>
        <w:t xml:space="preserve"> needs</w:t>
      </w:r>
      <w:r w:rsidRPr="00130672">
        <w:rPr>
          <w:rFonts w:ascii="Tw Cen MT" w:hAnsi="Tw Cen MT"/>
          <w:sz w:val="24"/>
          <w:szCs w:val="24"/>
        </w:rPr>
        <w:t xml:space="preserve">) to help them align with EU market standards, particularly the green economy and sustainability-driven regulations (e.g., Green Deal). Suggest partnerships with French/ European stakeholders (Business France, FR Economic services, </w:t>
      </w:r>
      <w:proofErr w:type="spellStart"/>
      <w:r w:rsidRPr="00130672">
        <w:rPr>
          <w:rFonts w:ascii="Tw Cen MT" w:hAnsi="Tw Cen MT"/>
          <w:sz w:val="24"/>
          <w:szCs w:val="24"/>
        </w:rPr>
        <w:t>Medef</w:t>
      </w:r>
      <w:proofErr w:type="spellEnd"/>
      <w:r w:rsidRPr="00130672">
        <w:rPr>
          <w:rFonts w:ascii="Tw Cen MT" w:hAnsi="Tw Cen MT"/>
          <w:sz w:val="24"/>
          <w:szCs w:val="24"/>
        </w:rPr>
        <w:t>) any other interventions to improve trade capacities as per areas requiring technical support, investment, or regulatory improvements.</w:t>
      </w:r>
    </w:p>
    <w:p w14:paraId="115B3B29" w14:textId="77777777" w:rsidR="002B2924" w:rsidRPr="002B2924" w:rsidRDefault="002B2924" w:rsidP="00F5146F">
      <w:pPr>
        <w:rPr>
          <w:rFonts w:ascii="Tw Cen MT" w:hAnsi="Tw Cen MT"/>
          <w:b/>
        </w:rPr>
      </w:pPr>
    </w:p>
    <w:p w14:paraId="171340DE" w14:textId="5A1F4B1C" w:rsidR="00F5146F" w:rsidRPr="00130672" w:rsidRDefault="00F5146F" w:rsidP="00130672">
      <w:pPr>
        <w:pStyle w:val="Paragraphedeliste"/>
        <w:numPr>
          <w:ilvl w:val="0"/>
          <w:numId w:val="19"/>
        </w:numPr>
        <w:rPr>
          <w:rFonts w:ascii="Tw Cen MT" w:hAnsi="Tw Cen MT"/>
          <w:b/>
          <w:sz w:val="24"/>
          <w:szCs w:val="24"/>
        </w:rPr>
      </w:pPr>
      <w:r w:rsidRPr="00130672">
        <w:rPr>
          <w:rFonts w:ascii="Tw Cen MT" w:hAnsi="Tw Cen MT"/>
          <w:b/>
          <w:sz w:val="24"/>
          <w:szCs w:val="24"/>
        </w:rPr>
        <w:t>Entrepreneur</w:t>
      </w:r>
      <w:r w:rsidR="00FC4BE9">
        <w:rPr>
          <w:rFonts w:ascii="Tw Cen MT" w:hAnsi="Tw Cen MT"/>
          <w:b/>
          <w:sz w:val="24"/>
          <w:szCs w:val="24"/>
        </w:rPr>
        <w:t xml:space="preserve">ial </w:t>
      </w:r>
      <w:r w:rsidRPr="00130672">
        <w:rPr>
          <w:rFonts w:ascii="Tw Cen MT" w:hAnsi="Tw Cen MT"/>
          <w:b/>
          <w:sz w:val="24"/>
          <w:szCs w:val="24"/>
        </w:rPr>
        <w:t xml:space="preserve">Ecosystem Analysis </w:t>
      </w:r>
    </w:p>
    <w:p w14:paraId="58AC3AAC" w14:textId="6D16ED12" w:rsidR="00F5146F" w:rsidRPr="00130672" w:rsidRDefault="00F5146F" w:rsidP="00130672">
      <w:pPr>
        <w:spacing w:after="120"/>
        <w:ind w:left="708"/>
        <w:rPr>
          <w:rFonts w:ascii="Tw Cen MT" w:eastAsia="Calibri" w:hAnsi="Tw Cen MT"/>
          <w:lang w:eastAsia="en-US"/>
        </w:rPr>
      </w:pPr>
      <w:r w:rsidRPr="00130672">
        <w:rPr>
          <w:rFonts w:ascii="Tw Cen MT" w:eastAsia="Calibri" w:hAnsi="Tw Cen MT"/>
          <w:lang w:eastAsia="en-US"/>
        </w:rPr>
        <w:t xml:space="preserve">This </w:t>
      </w:r>
      <w:r w:rsidR="00130672" w:rsidRPr="000F7BA4">
        <w:rPr>
          <w:rFonts w:ascii="Tw Cen MT" w:eastAsia="Calibri" w:hAnsi="Tw Cen MT"/>
          <w:i/>
          <w:lang w:eastAsia="en-US"/>
        </w:rPr>
        <w:t>sub</w:t>
      </w:r>
      <w:r w:rsidRPr="000F7BA4">
        <w:rPr>
          <w:rFonts w:ascii="Tw Cen MT" w:eastAsia="Calibri" w:hAnsi="Tw Cen MT"/>
          <w:i/>
          <w:lang w:eastAsia="en-US"/>
        </w:rPr>
        <w:t>component</w:t>
      </w:r>
      <w:r w:rsidRPr="00130672">
        <w:rPr>
          <w:rFonts w:ascii="Tw Cen MT" w:eastAsia="Calibri" w:hAnsi="Tw Cen MT"/>
          <w:lang w:eastAsia="en-US"/>
        </w:rPr>
        <w:t xml:space="preserve"> should include a targeted analysis of Georgia and Armenia’s entrepreneurial ecosystem, identifying key strengths, challenges, and actionable recommendations to support future ecosystem development.</w:t>
      </w:r>
    </w:p>
    <w:p w14:paraId="6253B0E6" w14:textId="089D7B23" w:rsidR="00F5146F" w:rsidRPr="00130672" w:rsidRDefault="00F5146F" w:rsidP="00130672">
      <w:pPr>
        <w:numPr>
          <w:ilvl w:val="1"/>
          <w:numId w:val="20"/>
        </w:numPr>
        <w:spacing w:after="120"/>
        <w:rPr>
          <w:rFonts w:ascii="Tw Cen MT" w:eastAsia="Calibri" w:hAnsi="Tw Cen MT"/>
          <w:lang w:eastAsia="en-US"/>
        </w:rPr>
      </w:pPr>
      <w:r w:rsidRPr="00130672">
        <w:rPr>
          <w:rFonts w:ascii="Tw Cen MT" w:eastAsia="Calibri" w:hAnsi="Tw Cen MT"/>
          <w:lang w:eastAsia="en-US"/>
        </w:rPr>
        <w:t xml:space="preserve">VSE/SME Landscape Review: Provide a comprehensive assessment of the VSE/SME landscape – based on existing literature review, examining sectoral distribution, business maturity, and structural challenges such as access to finance, regulatory barriers, and digital transformation </w:t>
      </w:r>
    </w:p>
    <w:p w14:paraId="65DA3F0E" w14:textId="6F0346D1" w:rsidR="00F5146F" w:rsidRPr="00130672" w:rsidRDefault="00F5146F" w:rsidP="00130672">
      <w:pPr>
        <w:numPr>
          <w:ilvl w:val="1"/>
          <w:numId w:val="20"/>
        </w:numPr>
        <w:spacing w:after="120"/>
        <w:rPr>
          <w:rFonts w:ascii="Tw Cen MT" w:eastAsia="Calibri" w:hAnsi="Tw Cen MT"/>
          <w:lang w:eastAsia="en-US"/>
        </w:rPr>
      </w:pPr>
      <w:r w:rsidRPr="00130672">
        <w:rPr>
          <w:rFonts w:ascii="Tw Cen MT" w:eastAsia="Calibri" w:hAnsi="Tw Cen MT"/>
          <w:lang w:eastAsia="en-US"/>
        </w:rPr>
        <w:t xml:space="preserve">Stakeholder and Support Mechanism Mapping:  Provide an analysis of the entrepreneurial ecosystem, mapping key reforms, policy initiatives, and major </w:t>
      </w:r>
      <w:r w:rsidRPr="00130672">
        <w:rPr>
          <w:rFonts w:ascii="Tw Cen MT" w:eastAsia="Calibri" w:hAnsi="Tw Cen MT"/>
          <w:lang w:eastAsia="en-US"/>
        </w:rPr>
        <w:lastRenderedPageBreak/>
        <w:t>ecosystem players, including public institutions, incubators, financial entities, and international partners. This analysis will identify synergies, inefficiencies, and best practices to enhance the ecosystem’s effectiveness.</w:t>
      </w:r>
    </w:p>
    <w:p w14:paraId="7A309E95" w14:textId="7F7DBB44" w:rsidR="007E4B18" w:rsidRPr="00130672" w:rsidRDefault="00F5146F" w:rsidP="00130672">
      <w:pPr>
        <w:numPr>
          <w:ilvl w:val="1"/>
          <w:numId w:val="20"/>
        </w:numPr>
        <w:spacing w:after="120"/>
        <w:rPr>
          <w:rFonts w:ascii="Tw Cen MT" w:eastAsia="Calibri" w:hAnsi="Tw Cen MT"/>
          <w:lang w:eastAsia="en-US"/>
        </w:rPr>
      </w:pPr>
      <w:r w:rsidRPr="00130672">
        <w:rPr>
          <w:rFonts w:ascii="Tw Cen MT" w:eastAsia="Calibri" w:hAnsi="Tw Cen MT"/>
          <w:lang w:eastAsia="en-US"/>
        </w:rPr>
        <w:t>Targeted Strategic Recommendations: Deliver strategic and operational recommendations, proposing concrete actions/activities to strengthen the entrepreneur</w:t>
      </w:r>
      <w:r w:rsidR="00FC4BE9">
        <w:rPr>
          <w:rFonts w:ascii="Tw Cen MT" w:eastAsia="Calibri" w:hAnsi="Tw Cen MT"/>
          <w:lang w:eastAsia="en-US"/>
        </w:rPr>
        <w:t>ial</w:t>
      </w:r>
      <w:r w:rsidRPr="00130672">
        <w:rPr>
          <w:rFonts w:ascii="Tw Cen MT" w:eastAsia="Calibri" w:hAnsi="Tw Cen MT"/>
          <w:lang w:eastAsia="en-US"/>
        </w:rPr>
        <w:t xml:space="preserve"> ecosystem, identifyi</w:t>
      </w:r>
      <w:r w:rsidR="00A82BC4">
        <w:rPr>
          <w:rFonts w:ascii="Tw Cen MT" w:eastAsia="Calibri" w:hAnsi="Tw Cen MT"/>
          <w:lang w:eastAsia="en-US"/>
        </w:rPr>
        <w:t>ng key players to implement it</w:t>
      </w:r>
    </w:p>
    <w:p w14:paraId="0D49F9A6" w14:textId="77777777" w:rsidR="00FC3950" w:rsidRPr="00942B06" w:rsidRDefault="00FC3950" w:rsidP="00FC3950">
      <w:pPr>
        <w:pStyle w:val="Sansinterligne"/>
        <w:jc w:val="both"/>
        <w:rPr>
          <w:rFonts w:ascii="Tw Cen MT" w:hAnsi="Tw Cen MT"/>
          <w:b/>
          <w:i/>
          <w:sz w:val="24"/>
          <w:szCs w:val="24"/>
          <w:u w:val="single"/>
        </w:rPr>
      </w:pPr>
      <w:r w:rsidRPr="00942B06">
        <w:rPr>
          <w:rFonts w:ascii="Tw Cen MT" w:hAnsi="Tw Cen MT"/>
          <w:b/>
          <w:i/>
          <w:sz w:val="24"/>
          <w:szCs w:val="24"/>
          <w:u w:val="single"/>
        </w:rPr>
        <w:t>Important Note:</w:t>
      </w:r>
    </w:p>
    <w:p w14:paraId="69FB08A1" w14:textId="60B0E9D4" w:rsidR="00FC3950" w:rsidRPr="00942B06" w:rsidRDefault="00130672" w:rsidP="00FC3950">
      <w:pPr>
        <w:pStyle w:val="Sansinterligne"/>
        <w:jc w:val="both"/>
        <w:rPr>
          <w:rFonts w:ascii="Tw Cen MT" w:hAnsi="Tw Cen MT"/>
          <w:i/>
          <w:sz w:val="24"/>
          <w:szCs w:val="24"/>
        </w:rPr>
      </w:pPr>
      <w:r>
        <w:rPr>
          <w:rFonts w:ascii="Tw Cen MT" w:hAnsi="Tw Cen MT"/>
          <w:i/>
          <w:sz w:val="24"/>
          <w:szCs w:val="24"/>
        </w:rPr>
        <w:t>Please note</w:t>
      </w:r>
      <w:r w:rsidR="00FC3950" w:rsidRPr="00942B06">
        <w:rPr>
          <w:rFonts w:ascii="Tw Cen MT" w:hAnsi="Tw Cen MT"/>
          <w:i/>
          <w:sz w:val="24"/>
          <w:szCs w:val="24"/>
        </w:rPr>
        <w:t xml:space="preserve"> that in 2022, AFD financed a first technical assistance to Georgian Railways with the following specific objectives:</w:t>
      </w:r>
    </w:p>
    <w:p w14:paraId="5E86F296" w14:textId="77777777" w:rsidR="00FC3950" w:rsidRPr="00942B06" w:rsidRDefault="00FC3950" w:rsidP="00FC3950">
      <w:pPr>
        <w:pStyle w:val="Sansinterligne"/>
        <w:jc w:val="both"/>
        <w:rPr>
          <w:rFonts w:ascii="Tw Cen MT" w:hAnsi="Tw Cen MT"/>
          <w:i/>
          <w:sz w:val="24"/>
          <w:szCs w:val="24"/>
        </w:rPr>
      </w:pPr>
      <w:r w:rsidRPr="00942B06">
        <w:rPr>
          <w:rFonts w:ascii="Tw Cen MT" w:hAnsi="Tw Cen MT"/>
          <w:i/>
          <w:sz w:val="24"/>
          <w:szCs w:val="24"/>
        </w:rPr>
        <w:t>(i)</w:t>
      </w:r>
      <w:r w:rsidRPr="00942B06">
        <w:rPr>
          <w:rFonts w:ascii="Tw Cen MT" w:hAnsi="Tw Cen MT"/>
          <w:i/>
          <w:sz w:val="24"/>
          <w:szCs w:val="24"/>
        </w:rPr>
        <w:tab/>
        <w:t>The development of a national railway policy;</w:t>
      </w:r>
    </w:p>
    <w:p w14:paraId="7A15461F" w14:textId="77777777" w:rsidR="00FC3950" w:rsidRPr="00942B06" w:rsidRDefault="00FC3950" w:rsidP="00FC3950">
      <w:pPr>
        <w:pStyle w:val="Sansinterligne"/>
        <w:jc w:val="both"/>
        <w:rPr>
          <w:rFonts w:ascii="Tw Cen MT" w:hAnsi="Tw Cen MT"/>
          <w:i/>
          <w:sz w:val="24"/>
          <w:szCs w:val="24"/>
        </w:rPr>
      </w:pPr>
      <w:r w:rsidRPr="00942B06">
        <w:rPr>
          <w:rFonts w:ascii="Tw Cen MT" w:hAnsi="Tw Cen MT"/>
          <w:i/>
          <w:sz w:val="24"/>
          <w:szCs w:val="24"/>
        </w:rPr>
        <w:t>(ii)</w:t>
      </w:r>
      <w:r w:rsidRPr="00942B06">
        <w:rPr>
          <w:rFonts w:ascii="Tw Cen MT" w:hAnsi="Tw Cen MT"/>
          <w:i/>
          <w:sz w:val="24"/>
          <w:szCs w:val="24"/>
        </w:rPr>
        <w:tab/>
        <w:t>A market survey on the regional perspectives of rail freight and the elaboration of a development strategy for its freight activity, in particular on a regional scale, with possible synergies with AFD's actions in Azerbaijan;</w:t>
      </w:r>
    </w:p>
    <w:p w14:paraId="1D30071A" w14:textId="77777777" w:rsidR="00FC3950" w:rsidRPr="00942B06" w:rsidRDefault="00FC3950" w:rsidP="00FC3950">
      <w:pPr>
        <w:pStyle w:val="Sansinterligne"/>
        <w:jc w:val="both"/>
        <w:rPr>
          <w:rFonts w:ascii="Tw Cen MT" w:hAnsi="Tw Cen MT"/>
          <w:i/>
          <w:sz w:val="24"/>
          <w:szCs w:val="24"/>
        </w:rPr>
      </w:pPr>
      <w:r w:rsidRPr="00942B06">
        <w:rPr>
          <w:rFonts w:ascii="Tw Cen MT" w:hAnsi="Tw Cen MT"/>
          <w:i/>
          <w:sz w:val="24"/>
          <w:szCs w:val="24"/>
        </w:rPr>
        <w:t>(iii)</w:t>
      </w:r>
      <w:r w:rsidRPr="00942B06">
        <w:rPr>
          <w:rFonts w:ascii="Tw Cen MT" w:hAnsi="Tw Cen MT"/>
          <w:i/>
          <w:sz w:val="24"/>
          <w:szCs w:val="24"/>
        </w:rPr>
        <w:tab/>
        <w:t>The review of Georgian Railways investment plan and the development of an immediate action plan for the renewal of rolling stock or other priority investments; and</w:t>
      </w:r>
    </w:p>
    <w:p w14:paraId="568D4364" w14:textId="77777777" w:rsidR="00FC3950" w:rsidRPr="00942B06" w:rsidRDefault="00FC3950" w:rsidP="00FC3950">
      <w:pPr>
        <w:pStyle w:val="Sansinterligne"/>
        <w:jc w:val="both"/>
        <w:rPr>
          <w:rFonts w:ascii="Tw Cen MT" w:hAnsi="Tw Cen MT"/>
          <w:i/>
          <w:sz w:val="24"/>
          <w:szCs w:val="24"/>
        </w:rPr>
      </w:pPr>
      <w:r w:rsidRPr="00942B06">
        <w:rPr>
          <w:rFonts w:ascii="Tw Cen MT" w:hAnsi="Tw Cen MT"/>
          <w:i/>
          <w:sz w:val="24"/>
          <w:szCs w:val="24"/>
        </w:rPr>
        <w:t>(iv)</w:t>
      </w:r>
      <w:r w:rsidRPr="00942B06">
        <w:rPr>
          <w:rFonts w:ascii="Tw Cen MT" w:hAnsi="Tw Cen MT"/>
          <w:i/>
          <w:sz w:val="24"/>
          <w:szCs w:val="24"/>
        </w:rPr>
        <w:tab/>
        <w:t>The implementation of EU rail regulations;</w:t>
      </w:r>
    </w:p>
    <w:p w14:paraId="045F3018" w14:textId="77777777" w:rsidR="00FC3950" w:rsidRPr="00942B06" w:rsidRDefault="00FC3950" w:rsidP="00FC3950">
      <w:pPr>
        <w:pStyle w:val="Sansinterligne"/>
        <w:jc w:val="both"/>
        <w:rPr>
          <w:rFonts w:ascii="Tw Cen MT" w:hAnsi="Tw Cen MT"/>
          <w:i/>
          <w:sz w:val="24"/>
          <w:szCs w:val="24"/>
        </w:rPr>
      </w:pPr>
      <w:r w:rsidRPr="00942B06">
        <w:rPr>
          <w:rFonts w:ascii="Tw Cen MT" w:hAnsi="Tw Cen MT"/>
          <w:i/>
          <w:sz w:val="24"/>
          <w:szCs w:val="24"/>
        </w:rPr>
        <w:t>(v)</w:t>
      </w:r>
      <w:r w:rsidRPr="00942B06">
        <w:rPr>
          <w:rFonts w:ascii="Tw Cen MT" w:hAnsi="Tw Cen MT"/>
          <w:i/>
          <w:sz w:val="24"/>
          <w:szCs w:val="24"/>
        </w:rPr>
        <w:tab/>
        <w:t>Support to GR compliance with newly established Public Corporation Reform Strategy and the Public Investment Management Guidelines.</w:t>
      </w:r>
    </w:p>
    <w:p w14:paraId="52C4B740" w14:textId="77777777" w:rsidR="00FC3950" w:rsidRPr="00942B06" w:rsidRDefault="00FC3950" w:rsidP="00FC3950">
      <w:pPr>
        <w:pStyle w:val="Sansinterligne"/>
        <w:jc w:val="both"/>
        <w:rPr>
          <w:rFonts w:ascii="Tw Cen MT" w:hAnsi="Tw Cen MT"/>
          <w:i/>
          <w:sz w:val="24"/>
          <w:szCs w:val="24"/>
        </w:rPr>
      </w:pPr>
    </w:p>
    <w:p w14:paraId="5FB6E45F" w14:textId="77777777" w:rsidR="00FC3950" w:rsidRPr="00942B06" w:rsidRDefault="00FC3950" w:rsidP="00FC3950">
      <w:pPr>
        <w:pStyle w:val="Sansinterligne"/>
        <w:jc w:val="both"/>
        <w:rPr>
          <w:rFonts w:ascii="Tw Cen MT" w:hAnsi="Tw Cen MT"/>
          <w:i/>
          <w:sz w:val="24"/>
          <w:szCs w:val="24"/>
        </w:rPr>
      </w:pPr>
      <w:r w:rsidRPr="00942B06">
        <w:rPr>
          <w:rFonts w:ascii="Tw Cen MT" w:hAnsi="Tw Cen MT"/>
          <w:i/>
          <w:sz w:val="24"/>
          <w:szCs w:val="24"/>
        </w:rPr>
        <w:t>An additional TA was financed in 2023/2024 with the objective to analyse GR’s current debt structure with a specific focus on its Eurobonds commitment, from both financial and contractual perspectives and explore potential solutions to alleviate such constraints such as to allow the previously identified core investments.</w:t>
      </w:r>
    </w:p>
    <w:p w14:paraId="0663ED5A" w14:textId="77777777" w:rsidR="00FC3950" w:rsidRPr="00942B06" w:rsidRDefault="00FC3950" w:rsidP="00FC3950">
      <w:pPr>
        <w:pStyle w:val="Sansinterligne"/>
        <w:jc w:val="both"/>
        <w:rPr>
          <w:rFonts w:ascii="Tw Cen MT" w:hAnsi="Tw Cen MT"/>
          <w:i/>
          <w:sz w:val="24"/>
          <w:szCs w:val="24"/>
        </w:rPr>
      </w:pPr>
    </w:p>
    <w:p w14:paraId="42954B32" w14:textId="23F131B9" w:rsidR="00FC3950" w:rsidRDefault="00FC3950" w:rsidP="00FC3950">
      <w:pPr>
        <w:pStyle w:val="Sansinterligne"/>
        <w:jc w:val="both"/>
        <w:rPr>
          <w:rFonts w:ascii="Tw Cen MT" w:hAnsi="Tw Cen MT"/>
          <w:i/>
          <w:sz w:val="24"/>
          <w:szCs w:val="24"/>
        </w:rPr>
      </w:pPr>
      <w:r w:rsidRPr="00942B06">
        <w:rPr>
          <w:rFonts w:ascii="Tw Cen MT" w:hAnsi="Tw Cen MT"/>
          <w:i/>
          <w:sz w:val="24"/>
          <w:szCs w:val="24"/>
        </w:rPr>
        <w:t>Hence Georgian Railways can be excluded from the scope of this assignment.</w:t>
      </w:r>
    </w:p>
    <w:p w14:paraId="770D394E" w14:textId="70955E0C" w:rsidR="00942B06" w:rsidRDefault="00942B06" w:rsidP="00FC3950">
      <w:pPr>
        <w:pStyle w:val="Sansinterligne"/>
        <w:jc w:val="both"/>
        <w:rPr>
          <w:rFonts w:ascii="Tw Cen MT" w:hAnsi="Tw Cen MT"/>
          <w:i/>
          <w:sz w:val="24"/>
          <w:szCs w:val="24"/>
        </w:rPr>
      </w:pPr>
    </w:p>
    <w:p w14:paraId="214E55F4" w14:textId="219F7C7F" w:rsidR="00942B06" w:rsidRDefault="00942B06" w:rsidP="00FC3950">
      <w:pPr>
        <w:pStyle w:val="Sansinterligne"/>
        <w:jc w:val="both"/>
        <w:rPr>
          <w:rFonts w:ascii="Tw Cen MT" w:hAnsi="Tw Cen MT"/>
          <w:i/>
          <w:sz w:val="24"/>
          <w:szCs w:val="24"/>
        </w:rPr>
      </w:pPr>
      <w:r w:rsidRPr="00007524">
        <w:rPr>
          <w:rFonts w:ascii="Tw Cen MT" w:hAnsi="Tw Cen MT"/>
          <w:i/>
          <w:sz w:val="24"/>
          <w:szCs w:val="24"/>
        </w:rPr>
        <w:t xml:space="preserve">Additionally, in compliance with EU economic sanctions against Russia, </w:t>
      </w:r>
      <w:r w:rsidRPr="00B01DA5">
        <w:rPr>
          <w:rFonts w:ascii="Tw Cen MT" w:hAnsi="Tw Cen MT"/>
          <w:i/>
          <w:sz w:val="24"/>
          <w:szCs w:val="24"/>
        </w:rPr>
        <w:t>Georgian and Armenian SOEs, having substantial ties or interests conn</w:t>
      </w:r>
      <w:r w:rsidR="00B01DA5" w:rsidRPr="00B01DA5">
        <w:rPr>
          <w:rFonts w:ascii="Tw Cen MT" w:hAnsi="Tw Cen MT"/>
          <w:i/>
          <w:sz w:val="24"/>
          <w:szCs w:val="24"/>
        </w:rPr>
        <w:t>ected to Russia, must be</w:t>
      </w:r>
      <w:r w:rsidRPr="00B01DA5">
        <w:rPr>
          <w:rFonts w:ascii="Tw Cen MT" w:hAnsi="Tw Cen MT"/>
          <w:i/>
          <w:sz w:val="24"/>
          <w:szCs w:val="24"/>
        </w:rPr>
        <w:t xml:space="preserve"> excluded from </w:t>
      </w:r>
      <w:r w:rsidR="00007524" w:rsidRPr="00B01DA5">
        <w:rPr>
          <w:rFonts w:ascii="Tw Cen MT" w:hAnsi="Tw Cen MT"/>
          <w:i/>
          <w:sz w:val="24"/>
          <w:szCs w:val="24"/>
        </w:rPr>
        <w:t>the scope of this assignment</w:t>
      </w:r>
      <w:r w:rsidRPr="00B01DA5">
        <w:rPr>
          <w:rFonts w:ascii="Tw Cen MT" w:hAnsi="Tw Cen MT"/>
          <w:i/>
          <w:sz w:val="24"/>
          <w:szCs w:val="24"/>
        </w:rPr>
        <w:t>.</w:t>
      </w:r>
    </w:p>
    <w:p w14:paraId="22E1AB99" w14:textId="77777777" w:rsidR="00D10EE8" w:rsidRDefault="00D10EE8" w:rsidP="00FC3950">
      <w:pPr>
        <w:pStyle w:val="Sansinterligne"/>
        <w:jc w:val="both"/>
        <w:rPr>
          <w:rFonts w:ascii="Tw Cen MT" w:hAnsi="Tw Cen MT"/>
          <w:i/>
          <w:sz w:val="24"/>
          <w:szCs w:val="24"/>
        </w:rPr>
      </w:pPr>
    </w:p>
    <w:p w14:paraId="4EEEEAAC" w14:textId="62D8F1B6" w:rsidR="00D10EE8" w:rsidRPr="00B01DA5" w:rsidRDefault="00D10EE8" w:rsidP="00FC3950">
      <w:pPr>
        <w:pStyle w:val="Sansinterligne"/>
        <w:jc w:val="both"/>
        <w:rPr>
          <w:rFonts w:ascii="Tw Cen MT" w:hAnsi="Tw Cen MT"/>
          <w:b/>
          <w:i/>
          <w:sz w:val="24"/>
          <w:szCs w:val="24"/>
        </w:rPr>
      </w:pPr>
      <w:r>
        <w:rPr>
          <w:rFonts w:ascii="Tw Cen MT" w:hAnsi="Tw Cen MT"/>
          <w:i/>
          <w:sz w:val="24"/>
          <w:szCs w:val="24"/>
        </w:rPr>
        <w:t>As a general note, in Georgia a particular attention must be paid to the shareholding structure of the SOEs, noting ties or interest connected to politically exposed persons.</w:t>
      </w:r>
    </w:p>
    <w:p w14:paraId="74728B29" w14:textId="77777777" w:rsidR="00BF4123" w:rsidRDefault="00BF4123" w:rsidP="00FC3950">
      <w:pPr>
        <w:pStyle w:val="Sansinterligne"/>
        <w:jc w:val="both"/>
        <w:rPr>
          <w:rFonts w:ascii="Tw Cen MT" w:hAnsi="Tw Cen MT"/>
          <w:sz w:val="24"/>
          <w:szCs w:val="24"/>
        </w:rPr>
      </w:pPr>
    </w:p>
    <w:p w14:paraId="58CADDF1" w14:textId="6925CECF" w:rsidR="00FC3950" w:rsidRPr="00BA1093" w:rsidRDefault="00FC3950" w:rsidP="00FC3950">
      <w:pPr>
        <w:pStyle w:val="Sansinterligne"/>
        <w:jc w:val="both"/>
        <w:rPr>
          <w:rFonts w:ascii="Tw Cen MT" w:hAnsi="Tw Cen MT"/>
          <w:sz w:val="24"/>
          <w:szCs w:val="24"/>
        </w:rPr>
      </w:pPr>
    </w:p>
    <w:p w14:paraId="79B1579D" w14:textId="77777777" w:rsidR="00860174" w:rsidRPr="00BA1093" w:rsidRDefault="00860174" w:rsidP="00860174">
      <w:pPr>
        <w:pStyle w:val="Sansinterligne"/>
        <w:numPr>
          <w:ilvl w:val="0"/>
          <w:numId w:val="18"/>
        </w:numPr>
        <w:jc w:val="both"/>
        <w:rPr>
          <w:rFonts w:ascii="Tw Cen MT" w:hAnsi="Tw Cen MT"/>
          <w:b/>
          <w:sz w:val="24"/>
          <w:szCs w:val="24"/>
          <w:u w:val="single"/>
        </w:rPr>
      </w:pPr>
      <w:r w:rsidRPr="00BA1093">
        <w:rPr>
          <w:rFonts w:ascii="Tw Cen MT" w:hAnsi="Tw Cen MT"/>
          <w:b/>
          <w:sz w:val="24"/>
          <w:szCs w:val="24"/>
          <w:u w:val="single"/>
        </w:rPr>
        <w:t>Component 2: Identification of potential for support and strategic recommendations</w:t>
      </w:r>
    </w:p>
    <w:p w14:paraId="466A297F" w14:textId="673C4E6E" w:rsidR="00E3540D" w:rsidRPr="00BA1093" w:rsidRDefault="00E3540D" w:rsidP="00860174">
      <w:pPr>
        <w:pStyle w:val="Sansinterligne"/>
        <w:jc w:val="both"/>
        <w:rPr>
          <w:rFonts w:ascii="Tw Cen MT" w:hAnsi="Tw Cen MT"/>
          <w:sz w:val="24"/>
          <w:szCs w:val="24"/>
        </w:rPr>
      </w:pPr>
    </w:p>
    <w:p w14:paraId="68F66C64" w14:textId="020B6DDC" w:rsidR="00D10EE8" w:rsidRDefault="00860174" w:rsidP="00860174">
      <w:pPr>
        <w:pStyle w:val="Sansinterligne"/>
        <w:jc w:val="both"/>
        <w:rPr>
          <w:rFonts w:ascii="Tw Cen MT" w:hAnsi="Tw Cen MT"/>
          <w:sz w:val="24"/>
          <w:szCs w:val="24"/>
        </w:rPr>
      </w:pPr>
      <w:r w:rsidRPr="00A82BC4">
        <w:rPr>
          <w:rFonts w:ascii="Tw Cen MT" w:hAnsi="Tw Cen MT"/>
          <w:sz w:val="24"/>
          <w:szCs w:val="24"/>
        </w:rPr>
        <w:t xml:space="preserve">Based on the diagnostic of the productive system and the role of the SOEs, the Consultant will propose the sectoral recommendations and identify the investment opportunities and, including the list of high-potential prospects for AFD financing. </w:t>
      </w:r>
    </w:p>
    <w:p w14:paraId="6F6DEC29" w14:textId="77777777" w:rsidR="00D10EE8" w:rsidRDefault="00D10EE8" w:rsidP="00860174">
      <w:pPr>
        <w:pStyle w:val="Sansinterligne"/>
        <w:jc w:val="both"/>
        <w:rPr>
          <w:rFonts w:ascii="Tw Cen MT" w:hAnsi="Tw Cen MT"/>
          <w:sz w:val="24"/>
          <w:szCs w:val="24"/>
        </w:rPr>
      </w:pPr>
    </w:p>
    <w:p w14:paraId="11CDF550" w14:textId="0FE43382" w:rsidR="00D10EE8" w:rsidRDefault="00D10EE8" w:rsidP="00860174">
      <w:pPr>
        <w:pStyle w:val="Sansinterligne"/>
        <w:jc w:val="both"/>
        <w:rPr>
          <w:rFonts w:ascii="Tw Cen MT" w:hAnsi="Tw Cen MT"/>
          <w:sz w:val="24"/>
          <w:szCs w:val="24"/>
        </w:rPr>
      </w:pPr>
      <w:r>
        <w:rPr>
          <w:rFonts w:ascii="Tw Cen MT" w:hAnsi="Tw Cen MT"/>
          <w:sz w:val="24"/>
          <w:szCs w:val="24"/>
        </w:rPr>
        <w:t>At this stage AFD will take a decision on whether to pursue with Component 2 in both countries or only Armenia.</w:t>
      </w:r>
    </w:p>
    <w:p w14:paraId="45C8DB17" w14:textId="77777777" w:rsidR="00D10EE8" w:rsidRDefault="00D10EE8" w:rsidP="00860174">
      <w:pPr>
        <w:pStyle w:val="Sansinterligne"/>
        <w:jc w:val="both"/>
        <w:rPr>
          <w:rFonts w:ascii="Tw Cen MT" w:hAnsi="Tw Cen MT"/>
          <w:sz w:val="24"/>
          <w:szCs w:val="24"/>
        </w:rPr>
      </w:pPr>
    </w:p>
    <w:p w14:paraId="71C6BC68" w14:textId="4098C4C3" w:rsidR="00860174" w:rsidRPr="00A82BC4" w:rsidRDefault="00D10EE8" w:rsidP="00860174">
      <w:pPr>
        <w:pStyle w:val="Sansinterligne"/>
        <w:jc w:val="both"/>
        <w:rPr>
          <w:rFonts w:ascii="Tw Cen MT" w:hAnsi="Tw Cen MT"/>
          <w:sz w:val="24"/>
          <w:szCs w:val="24"/>
        </w:rPr>
      </w:pPr>
      <w:r>
        <w:rPr>
          <w:rFonts w:ascii="Tw Cen MT" w:hAnsi="Tw Cen MT"/>
          <w:sz w:val="24"/>
          <w:szCs w:val="24"/>
        </w:rPr>
        <w:t>If the opportunity to pursue in both countries is confirmed</w:t>
      </w:r>
      <w:r w:rsidR="00860174" w:rsidRPr="00A82BC4">
        <w:rPr>
          <w:rFonts w:ascii="Tw Cen MT" w:hAnsi="Tw Cen MT"/>
          <w:sz w:val="24"/>
          <w:szCs w:val="24"/>
        </w:rPr>
        <w:t>, the consultant shall take into account AFD’s mandate in Georgia summarized in the Program Agreement with the GoG for the period 2024-2027. This part of the analysis should provide necessary knowledge and recommendations on which AFD could capitalize on in order to prepare the prospecting mission and define priority areas of intervention in line with its mandate, the needs of the SOEs.</w:t>
      </w:r>
    </w:p>
    <w:p w14:paraId="7036E8B9" w14:textId="77777777" w:rsidR="00FC3950" w:rsidRPr="00A82BC4" w:rsidRDefault="00FC3950" w:rsidP="00860174">
      <w:pPr>
        <w:pStyle w:val="Sansinterligne"/>
        <w:jc w:val="both"/>
        <w:rPr>
          <w:rFonts w:ascii="Tw Cen MT" w:hAnsi="Tw Cen MT"/>
          <w:sz w:val="24"/>
          <w:szCs w:val="24"/>
        </w:rPr>
      </w:pPr>
    </w:p>
    <w:p w14:paraId="058B06A9" w14:textId="77777777" w:rsidR="00860174" w:rsidRPr="00A82BC4" w:rsidRDefault="00860174" w:rsidP="00860174">
      <w:pPr>
        <w:rPr>
          <w:rFonts w:ascii="Tw Cen MT" w:hAnsi="Tw Cen MT"/>
        </w:rPr>
      </w:pPr>
      <w:r w:rsidRPr="00A82BC4">
        <w:rPr>
          <w:rFonts w:ascii="Tw Cen MT" w:hAnsi="Tw Cen MT"/>
        </w:rPr>
        <w:t>To do so, the Consultant should carry out the following actions:</w:t>
      </w:r>
    </w:p>
    <w:p w14:paraId="418B21D7" w14:textId="77777777" w:rsidR="00AF7E0B" w:rsidRPr="00A82BC4" w:rsidRDefault="00860174" w:rsidP="00AF7E0B">
      <w:pPr>
        <w:pStyle w:val="Paragraphedeliste"/>
        <w:numPr>
          <w:ilvl w:val="0"/>
          <w:numId w:val="21"/>
        </w:numPr>
        <w:rPr>
          <w:rFonts w:ascii="Tw Cen MT" w:hAnsi="Tw Cen MT"/>
          <w:sz w:val="24"/>
          <w:szCs w:val="24"/>
        </w:rPr>
      </w:pPr>
      <w:r w:rsidRPr="00A82BC4">
        <w:rPr>
          <w:rFonts w:ascii="Tw Cen MT" w:hAnsi="Tw Cen MT"/>
          <w:b/>
          <w:sz w:val="24"/>
          <w:szCs w:val="24"/>
        </w:rPr>
        <w:t>Identify the main vulnerabilities, obstacles, investment needs</w:t>
      </w:r>
      <w:r w:rsidRPr="00A82BC4">
        <w:rPr>
          <w:rFonts w:ascii="Tw Cen MT" w:hAnsi="Tw Cen MT"/>
          <w:sz w:val="24"/>
          <w:szCs w:val="24"/>
        </w:rPr>
        <w:t xml:space="preserve"> and</w:t>
      </w:r>
      <w:r w:rsidRPr="00A82BC4">
        <w:rPr>
          <w:rFonts w:ascii="Tw Cen MT" w:hAnsi="Tw Cen MT"/>
          <w:b/>
          <w:sz w:val="24"/>
          <w:szCs w:val="24"/>
        </w:rPr>
        <w:t xml:space="preserve"> areas of work to address them</w:t>
      </w:r>
      <w:r w:rsidRPr="00A82BC4">
        <w:rPr>
          <w:rFonts w:ascii="Tw Cen MT" w:hAnsi="Tw Cen MT"/>
          <w:sz w:val="24"/>
          <w:szCs w:val="24"/>
        </w:rPr>
        <w:t xml:space="preserve">, resulting from the review </w:t>
      </w:r>
    </w:p>
    <w:p w14:paraId="119E0189" w14:textId="77777777" w:rsidR="00860174" w:rsidRPr="00A82BC4" w:rsidRDefault="00860174" w:rsidP="00860174">
      <w:pPr>
        <w:pStyle w:val="Paragraphedeliste"/>
        <w:numPr>
          <w:ilvl w:val="0"/>
          <w:numId w:val="21"/>
        </w:numPr>
        <w:rPr>
          <w:rFonts w:ascii="Tw Cen MT" w:hAnsi="Tw Cen MT"/>
          <w:sz w:val="24"/>
          <w:szCs w:val="24"/>
        </w:rPr>
      </w:pPr>
      <w:r w:rsidRPr="00A82BC4">
        <w:rPr>
          <w:rFonts w:ascii="Tw Cen MT" w:hAnsi="Tw Cen MT"/>
          <w:b/>
          <w:sz w:val="24"/>
          <w:szCs w:val="24"/>
        </w:rPr>
        <w:lastRenderedPageBreak/>
        <w:t>Provide a mapping</w:t>
      </w:r>
      <w:r w:rsidRPr="00A82BC4">
        <w:rPr>
          <w:rFonts w:ascii="Tw Cen MT" w:hAnsi="Tw Cen MT"/>
          <w:sz w:val="24"/>
          <w:szCs w:val="24"/>
        </w:rPr>
        <w:t xml:space="preserve"> of the government-led initiatives and donors’ interventions in support of the SOEs</w:t>
      </w:r>
    </w:p>
    <w:p w14:paraId="75ADA2BB" w14:textId="743E580F" w:rsidR="00AF7E0B" w:rsidRPr="00A82BC4" w:rsidRDefault="00AF7E0B" w:rsidP="00860174">
      <w:pPr>
        <w:pStyle w:val="Paragraphedeliste"/>
        <w:numPr>
          <w:ilvl w:val="0"/>
          <w:numId w:val="21"/>
        </w:numPr>
        <w:rPr>
          <w:rFonts w:ascii="Tw Cen MT" w:hAnsi="Tw Cen MT"/>
          <w:sz w:val="24"/>
          <w:szCs w:val="24"/>
        </w:rPr>
      </w:pPr>
      <w:r w:rsidRPr="00A82BC4">
        <w:rPr>
          <w:rFonts w:ascii="Tw Cen MT" w:hAnsi="Tw Cen MT"/>
          <w:sz w:val="24"/>
          <w:szCs w:val="24"/>
        </w:rPr>
        <w:t>Evaluate the alignment of the SOEs’ strategies and operations with national development plans, regional strategies, and international frameworks such as the Sustainable Development Goals (SDGs). Provide recommendations to enhance this alignment to attract support from international donors and investors</w:t>
      </w:r>
      <w:r w:rsidR="00007524" w:rsidRPr="00A82BC4">
        <w:rPr>
          <w:rFonts w:ascii="Tw Cen MT" w:hAnsi="Tw Cen MT"/>
          <w:sz w:val="24"/>
          <w:szCs w:val="24"/>
        </w:rPr>
        <w:t>.</w:t>
      </w:r>
    </w:p>
    <w:p w14:paraId="2148E875" w14:textId="39D9E3A0" w:rsidR="00AF7E0B" w:rsidRPr="00A82BC4" w:rsidRDefault="00AF7E0B" w:rsidP="00860174">
      <w:pPr>
        <w:pStyle w:val="Paragraphedeliste"/>
        <w:numPr>
          <w:ilvl w:val="0"/>
          <w:numId w:val="21"/>
        </w:numPr>
        <w:rPr>
          <w:rFonts w:ascii="Tw Cen MT" w:hAnsi="Tw Cen MT"/>
          <w:sz w:val="24"/>
          <w:szCs w:val="24"/>
        </w:rPr>
      </w:pPr>
      <w:r w:rsidRPr="00A82BC4">
        <w:rPr>
          <w:rFonts w:ascii="Tw Cen MT" w:hAnsi="Tw Cen MT"/>
          <w:sz w:val="24"/>
          <w:szCs w:val="24"/>
        </w:rPr>
        <w:t>Assess the competitive positioning of the SOEs at both regional and international levels, identifying sectors or activities where they hold strategic advantages or face significant challenges. This analysis should also explore potential trade or cross-border collaboration opportunities</w:t>
      </w:r>
      <w:r w:rsidR="00007524" w:rsidRPr="00A82BC4">
        <w:rPr>
          <w:rFonts w:ascii="Tw Cen MT" w:hAnsi="Tw Cen MT"/>
          <w:sz w:val="24"/>
          <w:szCs w:val="24"/>
        </w:rPr>
        <w:t>.</w:t>
      </w:r>
    </w:p>
    <w:p w14:paraId="050A822F" w14:textId="77777777" w:rsidR="00860174" w:rsidRPr="00A82BC4" w:rsidRDefault="00860174" w:rsidP="00860174">
      <w:pPr>
        <w:pStyle w:val="Paragraphedeliste"/>
        <w:numPr>
          <w:ilvl w:val="0"/>
          <w:numId w:val="21"/>
        </w:numPr>
        <w:rPr>
          <w:rFonts w:ascii="Tw Cen MT" w:hAnsi="Tw Cen MT"/>
          <w:sz w:val="24"/>
          <w:szCs w:val="24"/>
        </w:rPr>
      </w:pPr>
      <w:r w:rsidRPr="00A82BC4">
        <w:rPr>
          <w:rFonts w:ascii="Tw Cen MT" w:hAnsi="Tw Cen MT"/>
          <w:b/>
          <w:sz w:val="24"/>
          <w:szCs w:val="24"/>
        </w:rPr>
        <w:t xml:space="preserve">Review the national framework ruling the access to funding by the SOEs </w:t>
      </w:r>
      <w:r w:rsidRPr="00A82BC4">
        <w:rPr>
          <w:rFonts w:ascii="Tw Cen MT" w:hAnsi="Tw Cen MT"/>
          <w:sz w:val="24"/>
          <w:szCs w:val="24"/>
        </w:rPr>
        <w:t xml:space="preserve">and their regulatory, technical and budgetary capacity to use financial products provided by banks/state. Screening the characteristics of the existing SOEs (non-sovereign) borrowing market (tenor, interest rate, currency, project vs budget loans, existence of security, etc….) </w:t>
      </w:r>
    </w:p>
    <w:p w14:paraId="17318E93" w14:textId="77777777" w:rsidR="00860174" w:rsidRPr="00A82BC4" w:rsidRDefault="00860174" w:rsidP="00860174">
      <w:pPr>
        <w:pStyle w:val="Paragraphedeliste"/>
        <w:numPr>
          <w:ilvl w:val="0"/>
          <w:numId w:val="21"/>
        </w:numPr>
        <w:rPr>
          <w:rFonts w:ascii="Tw Cen MT" w:hAnsi="Tw Cen MT"/>
          <w:sz w:val="24"/>
          <w:szCs w:val="24"/>
        </w:rPr>
      </w:pPr>
      <w:r w:rsidRPr="00A82BC4">
        <w:rPr>
          <w:rFonts w:ascii="Tw Cen MT" w:hAnsi="Tw Cen MT"/>
          <w:b/>
          <w:sz w:val="24"/>
          <w:szCs w:val="24"/>
        </w:rPr>
        <w:t>Identify and list some key areas of intervention and sectors</w:t>
      </w:r>
      <w:r w:rsidRPr="00A82BC4">
        <w:rPr>
          <w:rFonts w:ascii="Tw Cen MT" w:hAnsi="Tw Cen MT"/>
          <w:sz w:val="24"/>
          <w:szCs w:val="24"/>
        </w:rPr>
        <w:t xml:space="preserve"> that appear relevant to improving the contribution of the SOEs towards the economy; including making </w:t>
      </w:r>
      <w:r w:rsidRPr="00A82BC4">
        <w:rPr>
          <w:rFonts w:ascii="Tw Cen MT" w:hAnsi="Tw Cen MT"/>
          <w:b/>
          <w:sz w:val="24"/>
          <w:szCs w:val="24"/>
        </w:rPr>
        <w:t xml:space="preserve">recommendations </w:t>
      </w:r>
      <w:r w:rsidRPr="00A82BC4">
        <w:rPr>
          <w:rFonts w:ascii="Tw Cen MT" w:hAnsi="Tw Cen MT"/>
          <w:sz w:val="24"/>
          <w:szCs w:val="24"/>
        </w:rPr>
        <w:t xml:space="preserve">on the </w:t>
      </w:r>
      <w:r w:rsidRPr="00A82BC4">
        <w:rPr>
          <w:rFonts w:ascii="Tw Cen MT" w:hAnsi="Tw Cen MT"/>
          <w:b/>
          <w:sz w:val="24"/>
          <w:szCs w:val="24"/>
        </w:rPr>
        <w:t>type of support</w:t>
      </w:r>
      <w:r w:rsidRPr="00A82BC4">
        <w:rPr>
          <w:rFonts w:ascii="Tw Cen MT" w:hAnsi="Tw Cen MT"/>
          <w:sz w:val="24"/>
          <w:szCs w:val="24"/>
        </w:rPr>
        <w:t xml:space="preserve"> and</w:t>
      </w:r>
      <w:r w:rsidRPr="00A82BC4">
        <w:rPr>
          <w:rFonts w:ascii="Tw Cen MT" w:hAnsi="Tw Cen MT"/>
          <w:b/>
          <w:sz w:val="24"/>
          <w:szCs w:val="24"/>
        </w:rPr>
        <w:t xml:space="preserve"> financial solutions</w:t>
      </w:r>
      <w:r w:rsidRPr="00A82BC4">
        <w:rPr>
          <w:rFonts w:ascii="Tw Cen MT" w:hAnsi="Tw Cen MT"/>
          <w:sz w:val="24"/>
          <w:szCs w:val="24"/>
        </w:rPr>
        <w:t xml:space="preserve"> that are necessary to address these priorities (credit, guarantee, technical assistance, grant, other specific instruments etc.).</w:t>
      </w:r>
    </w:p>
    <w:p w14:paraId="7383CB97" w14:textId="4F5A1BE1" w:rsidR="00007524" w:rsidRPr="00A82BC4" w:rsidRDefault="00130672" w:rsidP="00007524">
      <w:pPr>
        <w:pStyle w:val="Paragraphedeliste"/>
        <w:numPr>
          <w:ilvl w:val="0"/>
          <w:numId w:val="21"/>
        </w:numPr>
        <w:rPr>
          <w:rFonts w:ascii="Tw Cen MT" w:hAnsi="Tw Cen MT"/>
          <w:sz w:val="24"/>
          <w:szCs w:val="24"/>
        </w:rPr>
      </w:pPr>
      <w:r w:rsidRPr="00A82BC4">
        <w:rPr>
          <w:rFonts w:ascii="Tw Cen MT" w:hAnsi="Tw Cen MT"/>
          <w:sz w:val="24"/>
          <w:szCs w:val="24"/>
        </w:rPr>
        <w:t>Analyse</w:t>
      </w:r>
      <w:r w:rsidR="00AF7E0B" w:rsidRPr="00A82BC4">
        <w:rPr>
          <w:rFonts w:ascii="Tw Cen MT" w:hAnsi="Tw Cen MT"/>
          <w:sz w:val="24"/>
          <w:szCs w:val="24"/>
        </w:rPr>
        <w:t xml:space="preserve"> the potential for public-private partnerships (PPPs) as a mechanism to attract private investment into key SOE-driven projects. Identify areas where PPPs could complement AFD’s interventions.</w:t>
      </w:r>
    </w:p>
    <w:p w14:paraId="34DB4062" w14:textId="74441919" w:rsidR="00E3540D" w:rsidRPr="00A82BC4" w:rsidRDefault="00860174" w:rsidP="00007524">
      <w:pPr>
        <w:pStyle w:val="Paragraphedeliste"/>
        <w:numPr>
          <w:ilvl w:val="0"/>
          <w:numId w:val="21"/>
        </w:numPr>
        <w:rPr>
          <w:rFonts w:ascii="Tw Cen MT" w:hAnsi="Tw Cen MT"/>
          <w:sz w:val="24"/>
          <w:szCs w:val="24"/>
        </w:rPr>
      </w:pPr>
      <w:r w:rsidRPr="00A82BC4">
        <w:rPr>
          <w:rFonts w:ascii="Tw Cen MT" w:hAnsi="Tw Cen MT"/>
          <w:b/>
          <w:sz w:val="24"/>
          <w:szCs w:val="24"/>
        </w:rPr>
        <w:t>Establish a list of high-potential prospects among SOEs (pipeline)</w:t>
      </w:r>
      <w:r w:rsidRPr="00A82BC4">
        <w:rPr>
          <w:rFonts w:ascii="Tw Cen MT" w:hAnsi="Tw Cen MT"/>
          <w:sz w:val="24"/>
          <w:szCs w:val="24"/>
        </w:rPr>
        <w:t>, which could represent a potential for cooperation for AFD, with a short description of each one of them, their financial/governance situation and strategy.</w:t>
      </w:r>
    </w:p>
    <w:p w14:paraId="7E8A5003" w14:textId="77A9C2A9" w:rsidR="00BB118B" w:rsidRPr="00BA1093" w:rsidRDefault="00BB118B" w:rsidP="00B8096A">
      <w:pPr>
        <w:jc w:val="both"/>
        <w:rPr>
          <w:rFonts w:ascii="Tw Cen MT" w:hAnsi="Tw Cen MT"/>
          <w:u w:val="single"/>
        </w:rPr>
      </w:pPr>
    </w:p>
    <w:p w14:paraId="1B2C8DA3" w14:textId="77777777" w:rsidR="00114DA1" w:rsidRPr="00BA1093" w:rsidRDefault="00114DA1" w:rsidP="00B8096A">
      <w:pPr>
        <w:jc w:val="both"/>
        <w:rPr>
          <w:rFonts w:ascii="Tw Cen MT" w:hAnsi="Tw Cen MT"/>
          <w:highlight w:val="yellow"/>
        </w:rPr>
      </w:pPr>
    </w:p>
    <w:p w14:paraId="17425426" w14:textId="77777777" w:rsidR="00114DA1" w:rsidRPr="00BA1093" w:rsidRDefault="00EF10C3" w:rsidP="00B8096A">
      <w:pPr>
        <w:pStyle w:val="Titre2"/>
        <w:spacing w:before="0"/>
        <w:jc w:val="both"/>
        <w:rPr>
          <w:rFonts w:ascii="Tw Cen MT" w:hAnsi="Tw Cen MT"/>
          <w:sz w:val="24"/>
          <w:szCs w:val="24"/>
        </w:rPr>
      </w:pPr>
      <w:bookmarkStart w:id="17" w:name="_Toc82590880"/>
      <w:bookmarkStart w:id="18" w:name="_Toc195120126"/>
      <w:r w:rsidRPr="00BA1093">
        <w:rPr>
          <w:rFonts w:ascii="Tw Cen MT" w:hAnsi="Tw Cen MT"/>
          <w:sz w:val="24"/>
          <w:szCs w:val="24"/>
        </w:rPr>
        <w:t>Specific procedures and requirements</w:t>
      </w:r>
      <w:bookmarkEnd w:id="17"/>
      <w:bookmarkEnd w:id="18"/>
    </w:p>
    <w:p w14:paraId="66A2F68A" w14:textId="77777777" w:rsidR="00114DA1" w:rsidRPr="00BA1093" w:rsidRDefault="00114DA1" w:rsidP="00B8096A">
      <w:pPr>
        <w:jc w:val="both"/>
        <w:rPr>
          <w:rFonts w:ascii="Tw Cen MT" w:hAnsi="Tw Cen MT" w:cs="Arial"/>
          <w:bCs/>
          <w:lang w:eastAsia="en-US"/>
        </w:rPr>
      </w:pPr>
    </w:p>
    <w:p w14:paraId="14D909F1" w14:textId="473F6E8F" w:rsidR="009F6A16" w:rsidRPr="00827E68" w:rsidRDefault="00D94682" w:rsidP="009F6A16">
      <w:pPr>
        <w:jc w:val="both"/>
        <w:rPr>
          <w:rFonts w:ascii="Tw Cen MT" w:hAnsi="Tw Cen MT" w:cs="Arial"/>
          <w:bCs/>
          <w:iCs/>
          <w:lang w:eastAsia="en-US"/>
        </w:rPr>
      </w:pPr>
      <w:r w:rsidRPr="00BA1093">
        <w:rPr>
          <w:rFonts w:ascii="Tw Cen MT" w:hAnsi="Tw Cen MT" w:cs="Arial"/>
          <w:bCs/>
          <w:iCs/>
          <w:lang w:eastAsia="en-US"/>
        </w:rPr>
        <w:t>The servi</w:t>
      </w:r>
      <w:r w:rsidR="00DA0018" w:rsidRPr="00BA1093">
        <w:rPr>
          <w:rFonts w:ascii="Tw Cen MT" w:hAnsi="Tw Cen MT" w:cs="Arial"/>
          <w:bCs/>
          <w:iCs/>
          <w:lang w:eastAsia="en-US"/>
        </w:rPr>
        <w:t>ce</w:t>
      </w:r>
      <w:r w:rsidR="00FC3950" w:rsidRPr="00BA1093">
        <w:rPr>
          <w:rFonts w:ascii="Tw Cen MT" w:hAnsi="Tw Cen MT" w:cs="Arial"/>
          <w:bCs/>
          <w:iCs/>
          <w:lang w:eastAsia="en-US"/>
        </w:rPr>
        <w:t xml:space="preserve"> will combine remote work and on-field presence</w:t>
      </w:r>
      <w:r w:rsidRPr="00BA1093">
        <w:rPr>
          <w:rFonts w:ascii="Tw Cen MT" w:hAnsi="Tw Cen MT" w:cs="Arial"/>
          <w:bCs/>
          <w:iCs/>
          <w:lang w:eastAsia="en-US"/>
        </w:rPr>
        <w:t xml:space="preserve"> in</w:t>
      </w:r>
      <w:r w:rsidR="0088232D">
        <w:rPr>
          <w:rFonts w:ascii="Tw Cen MT" w:hAnsi="Tw Cen MT" w:cs="Arial"/>
          <w:bCs/>
          <w:iCs/>
          <w:lang w:eastAsia="en-US"/>
        </w:rPr>
        <w:t xml:space="preserve"> Armenia and </w:t>
      </w:r>
      <w:r w:rsidR="00B200FA" w:rsidRPr="00BA1093">
        <w:rPr>
          <w:rFonts w:ascii="Tw Cen MT" w:hAnsi="Tw Cen MT" w:cs="Arial"/>
          <w:bCs/>
          <w:iCs/>
          <w:lang w:eastAsia="en-US"/>
        </w:rPr>
        <w:t>Georgia</w:t>
      </w:r>
      <w:r w:rsidR="00DA0018" w:rsidRPr="00BA1093">
        <w:rPr>
          <w:rFonts w:ascii="Tw Cen MT" w:hAnsi="Tw Cen MT" w:cs="Arial"/>
          <w:bCs/>
          <w:iCs/>
          <w:lang w:eastAsia="en-US"/>
        </w:rPr>
        <w:t xml:space="preserve">, mainly in </w:t>
      </w:r>
      <w:r w:rsidR="00FC3950" w:rsidRPr="00BA1093">
        <w:rPr>
          <w:rFonts w:ascii="Tw Cen MT" w:hAnsi="Tw Cen MT" w:cs="Arial"/>
          <w:bCs/>
          <w:iCs/>
          <w:lang w:eastAsia="en-US"/>
        </w:rPr>
        <w:t>Tbilis</w:t>
      </w:r>
      <w:r w:rsidR="00B200FA" w:rsidRPr="00BA1093">
        <w:rPr>
          <w:rFonts w:ascii="Tw Cen MT" w:hAnsi="Tw Cen MT" w:cs="Arial"/>
          <w:bCs/>
          <w:iCs/>
          <w:lang w:eastAsia="en-US"/>
        </w:rPr>
        <w:t>i</w:t>
      </w:r>
      <w:r w:rsidR="00DA0018" w:rsidRPr="00BA1093">
        <w:rPr>
          <w:rFonts w:ascii="Tw Cen MT" w:hAnsi="Tw Cen MT" w:cs="Arial"/>
          <w:bCs/>
          <w:iCs/>
          <w:lang w:eastAsia="en-US"/>
        </w:rPr>
        <w:t xml:space="preserve">. </w:t>
      </w:r>
      <w:r w:rsidR="0015320F" w:rsidRPr="00BA1093">
        <w:rPr>
          <w:rFonts w:ascii="Tw Cen MT" w:hAnsi="Tw Cen MT" w:cs="Arial"/>
          <w:bCs/>
          <w:iCs/>
          <w:lang w:eastAsia="en-US"/>
        </w:rPr>
        <w:t>At least one field mission</w:t>
      </w:r>
      <w:r w:rsidR="00BA47E7">
        <w:rPr>
          <w:rFonts w:ascii="Tw Cen MT" w:hAnsi="Tw Cen MT" w:cs="Arial"/>
          <w:bCs/>
          <w:iCs/>
          <w:lang w:eastAsia="en-US"/>
        </w:rPr>
        <w:t xml:space="preserve"> in each country</w:t>
      </w:r>
      <w:r w:rsidR="00FC3950" w:rsidRPr="00BA1093">
        <w:rPr>
          <w:rFonts w:ascii="Tw Cen MT" w:hAnsi="Tw Cen MT" w:cs="Arial"/>
          <w:bCs/>
          <w:iCs/>
          <w:lang w:eastAsia="en-US"/>
        </w:rPr>
        <w:t xml:space="preserve"> is expected</w:t>
      </w:r>
      <w:r w:rsidR="0088232D">
        <w:rPr>
          <w:rFonts w:ascii="Tw Cen MT" w:hAnsi="Tw Cen MT" w:cs="Arial"/>
          <w:bCs/>
          <w:iCs/>
          <w:lang w:eastAsia="en-US"/>
        </w:rPr>
        <w:t>,</w:t>
      </w:r>
      <w:r w:rsidR="00FC3950" w:rsidRPr="00BA1093">
        <w:rPr>
          <w:rFonts w:ascii="Tw Cen MT" w:hAnsi="Tw Cen MT" w:cs="Arial"/>
          <w:bCs/>
          <w:iCs/>
          <w:lang w:eastAsia="en-US"/>
        </w:rPr>
        <w:t xml:space="preserve"> </w:t>
      </w:r>
      <w:r w:rsidR="0088232D" w:rsidRPr="00827E68">
        <w:rPr>
          <w:rFonts w:ascii="Tw Cen MT" w:hAnsi="Tw Cen MT" w:cs="Arial"/>
          <w:bCs/>
          <w:iCs/>
          <w:lang w:eastAsia="en-US"/>
        </w:rPr>
        <w:t>with the possibility of additional visits depending on project needs and stakeholder consultations. A detailed fieldwork schedule should be proposed by the Consultant in alignment with the overall assignment timeline.</w:t>
      </w:r>
    </w:p>
    <w:p w14:paraId="655F150D" w14:textId="77777777" w:rsidR="00DA0018" w:rsidRPr="00BA1093" w:rsidRDefault="00DA0018" w:rsidP="00D94682">
      <w:pPr>
        <w:jc w:val="both"/>
        <w:rPr>
          <w:rFonts w:ascii="Tw Cen MT" w:hAnsi="Tw Cen MT" w:cs="Arial"/>
          <w:bCs/>
          <w:iCs/>
          <w:lang w:eastAsia="en-US"/>
        </w:rPr>
      </w:pPr>
    </w:p>
    <w:p w14:paraId="0BB77DE6" w14:textId="7165B45A" w:rsidR="00D94682" w:rsidRPr="00BA1093" w:rsidRDefault="00CA2DDE" w:rsidP="00D94682">
      <w:pPr>
        <w:jc w:val="both"/>
        <w:rPr>
          <w:rFonts w:ascii="Tw Cen MT" w:hAnsi="Tw Cen MT" w:cs="Arial"/>
          <w:bCs/>
          <w:iCs/>
          <w:lang w:eastAsia="en-US"/>
        </w:rPr>
      </w:pPr>
      <w:r w:rsidRPr="00BA1093">
        <w:rPr>
          <w:rFonts w:ascii="Tw Cen MT" w:hAnsi="Tw Cen MT" w:cs="Arial"/>
          <w:bCs/>
          <w:iCs/>
          <w:lang w:eastAsia="en-US"/>
        </w:rPr>
        <w:t>Fluen</w:t>
      </w:r>
      <w:r w:rsidR="006B5541" w:rsidRPr="00BA1093">
        <w:rPr>
          <w:rFonts w:ascii="Tw Cen MT" w:hAnsi="Tw Cen MT" w:cs="Arial"/>
          <w:bCs/>
          <w:iCs/>
          <w:lang w:eastAsia="en-US"/>
        </w:rPr>
        <w:t>cy in</w:t>
      </w:r>
      <w:r w:rsidR="00DA0018" w:rsidRPr="00BA1093">
        <w:rPr>
          <w:rFonts w:ascii="Tw Cen MT" w:hAnsi="Tw Cen MT" w:cs="Arial"/>
          <w:bCs/>
          <w:iCs/>
          <w:lang w:eastAsia="en-US"/>
        </w:rPr>
        <w:t xml:space="preserve"> English</w:t>
      </w:r>
      <w:r w:rsidR="009F6A16" w:rsidRPr="00BA1093">
        <w:rPr>
          <w:rFonts w:ascii="Tw Cen MT" w:hAnsi="Tw Cen MT" w:cs="Arial"/>
          <w:bCs/>
          <w:iCs/>
          <w:lang w:eastAsia="en-US"/>
        </w:rPr>
        <w:t xml:space="preserve">, both written and oral is compulsory. </w:t>
      </w:r>
      <w:r w:rsidR="0088232D" w:rsidRPr="00827E68">
        <w:rPr>
          <w:rFonts w:ascii="Tw Cen MT" w:hAnsi="Tw Cen MT" w:cs="Arial"/>
          <w:bCs/>
          <w:iCs/>
          <w:lang w:eastAsia="en-US"/>
        </w:rPr>
        <w:t>Additionally, proficiency in Georgian and/or Armenian would be considered an asset to facilitate local engagement and communication with stakeholders.</w:t>
      </w:r>
    </w:p>
    <w:p w14:paraId="1965A2CB" w14:textId="77777777" w:rsidR="00FD6315" w:rsidRPr="00BA1093" w:rsidRDefault="00FD6315" w:rsidP="00D94682">
      <w:pPr>
        <w:jc w:val="both"/>
        <w:rPr>
          <w:rFonts w:ascii="Tw Cen MT" w:hAnsi="Tw Cen MT" w:cs="Arial"/>
          <w:bCs/>
          <w:iCs/>
          <w:lang w:eastAsia="en-US"/>
        </w:rPr>
      </w:pPr>
    </w:p>
    <w:p w14:paraId="6B230F19" w14:textId="0EC40E13" w:rsidR="00FD6315" w:rsidRDefault="00FD6315" w:rsidP="00D94682">
      <w:pPr>
        <w:jc w:val="both"/>
        <w:rPr>
          <w:rFonts w:ascii="Tw Cen MT" w:hAnsi="Tw Cen MT" w:cs="Arial"/>
          <w:bCs/>
          <w:iCs/>
          <w:lang w:eastAsia="en-US"/>
        </w:rPr>
      </w:pPr>
      <w:r w:rsidRPr="00BA1093">
        <w:rPr>
          <w:rFonts w:ascii="Tw Cen MT" w:hAnsi="Tw Cen MT" w:cs="Arial"/>
          <w:bCs/>
          <w:iCs/>
          <w:lang w:eastAsia="en-US"/>
        </w:rPr>
        <w:t>The need for th</w:t>
      </w:r>
      <w:r w:rsidR="00CA3C16" w:rsidRPr="00BA1093">
        <w:rPr>
          <w:rFonts w:ascii="Tw Cen MT" w:hAnsi="Tw Cen MT" w:cs="Arial"/>
          <w:bCs/>
          <w:iCs/>
          <w:lang w:eastAsia="en-US"/>
        </w:rPr>
        <w:t xml:space="preserve">is assignment is an </w:t>
      </w:r>
      <w:r w:rsidR="00B276BD">
        <w:rPr>
          <w:rFonts w:ascii="Tw Cen MT" w:hAnsi="Tw Cen MT" w:cs="Arial"/>
          <w:bCs/>
          <w:iCs/>
          <w:lang w:eastAsia="en-US"/>
        </w:rPr>
        <w:t xml:space="preserve">indicative </w:t>
      </w:r>
      <w:r w:rsidR="00CA3C16" w:rsidRPr="00BA1093">
        <w:rPr>
          <w:rFonts w:ascii="Tw Cen MT" w:hAnsi="Tw Cen MT" w:cs="Arial"/>
          <w:bCs/>
          <w:iCs/>
          <w:lang w:eastAsia="en-US"/>
        </w:rPr>
        <w:t xml:space="preserve">average of </w:t>
      </w:r>
      <w:r w:rsidR="00816B3E">
        <w:rPr>
          <w:rFonts w:ascii="Tw Cen MT" w:hAnsi="Tw Cen MT" w:cs="Arial"/>
          <w:bCs/>
          <w:iCs/>
          <w:lang w:eastAsia="en-US"/>
        </w:rPr>
        <w:t>90-9</w:t>
      </w:r>
      <w:r w:rsidR="008F1A8F">
        <w:rPr>
          <w:rFonts w:ascii="Tw Cen MT" w:hAnsi="Tw Cen MT" w:cs="Arial"/>
          <w:bCs/>
          <w:iCs/>
          <w:lang w:eastAsia="en-US"/>
        </w:rPr>
        <w:t>5</w:t>
      </w:r>
      <w:r w:rsidR="00FC3950" w:rsidRPr="00BA1093">
        <w:rPr>
          <w:rFonts w:ascii="Tw Cen MT" w:hAnsi="Tw Cen MT" w:cs="Arial"/>
          <w:bCs/>
          <w:iCs/>
          <w:lang w:eastAsia="en-US"/>
        </w:rPr>
        <w:t>man/</w:t>
      </w:r>
      <w:r w:rsidR="00265579" w:rsidRPr="00BA1093">
        <w:rPr>
          <w:rFonts w:ascii="Tw Cen MT" w:hAnsi="Tw Cen MT" w:cs="Arial"/>
          <w:bCs/>
          <w:iCs/>
          <w:lang w:eastAsia="en-US"/>
        </w:rPr>
        <w:t>days</w:t>
      </w:r>
      <w:r w:rsidR="00EE3B54">
        <w:rPr>
          <w:rFonts w:ascii="Tw Cen MT" w:hAnsi="Tw Cen MT" w:cs="Arial"/>
          <w:bCs/>
          <w:iCs/>
          <w:lang w:eastAsia="en-US"/>
        </w:rPr>
        <w:t>,</w:t>
      </w:r>
      <w:r w:rsidR="00DA528D">
        <w:rPr>
          <w:rFonts w:ascii="Tw Cen MT" w:hAnsi="Tw Cen MT" w:cs="Arial"/>
          <w:bCs/>
          <w:iCs/>
          <w:lang w:eastAsia="en-US"/>
        </w:rPr>
        <w:t xml:space="preserve"> to be </w:t>
      </w:r>
      <w:r w:rsidR="00EE3B54" w:rsidRPr="00EE3B54">
        <w:rPr>
          <w:rFonts w:ascii="Tw Cen MT" w:hAnsi="Tw Cen MT" w:cs="Arial"/>
          <w:bCs/>
          <w:iCs/>
          <w:lang w:eastAsia="en-US"/>
        </w:rPr>
        <w:t xml:space="preserve">allocated </w:t>
      </w:r>
      <w:r w:rsidR="00DA528D">
        <w:rPr>
          <w:rFonts w:ascii="Tw Cen MT" w:hAnsi="Tw Cen MT" w:cs="Arial"/>
          <w:bCs/>
          <w:iCs/>
          <w:lang w:eastAsia="en-US"/>
        </w:rPr>
        <w:t>according to</w:t>
      </w:r>
      <w:r w:rsidR="00EE3B54" w:rsidRPr="00EE3B54">
        <w:rPr>
          <w:rFonts w:ascii="Tw Cen MT" w:hAnsi="Tw Cen MT" w:cs="Arial"/>
          <w:bCs/>
          <w:iCs/>
          <w:lang w:eastAsia="en-US"/>
        </w:rPr>
        <w:t xml:space="preserve"> the country-specific </w:t>
      </w:r>
      <w:r w:rsidR="00AF3C26">
        <w:rPr>
          <w:rFonts w:ascii="Tw Cen MT" w:hAnsi="Tw Cen MT" w:cs="Arial"/>
          <w:bCs/>
          <w:iCs/>
          <w:lang w:eastAsia="en-US"/>
        </w:rPr>
        <w:t xml:space="preserve">needs and </w:t>
      </w:r>
      <w:r w:rsidR="00EE3B54" w:rsidRPr="00EE3B54">
        <w:rPr>
          <w:rFonts w:ascii="Tw Cen MT" w:hAnsi="Tw Cen MT" w:cs="Arial"/>
          <w:bCs/>
          <w:iCs/>
          <w:lang w:eastAsia="en-US"/>
        </w:rPr>
        <w:t>scopes</w:t>
      </w:r>
      <w:r w:rsidR="00AF3C26">
        <w:rPr>
          <w:rFonts w:ascii="Tw Cen MT" w:hAnsi="Tw Cen MT" w:cs="Arial"/>
          <w:bCs/>
          <w:iCs/>
          <w:lang w:eastAsia="en-US"/>
        </w:rPr>
        <w:t>,</w:t>
      </w:r>
      <w:r w:rsidR="00EE3B54" w:rsidRPr="00EE3B54">
        <w:rPr>
          <w:rFonts w:ascii="Tw Cen MT" w:hAnsi="Tw Cen MT" w:cs="Arial"/>
          <w:bCs/>
          <w:iCs/>
          <w:lang w:eastAsia="en-US"/>
        </w:rPr>
        <w:t xml:space="preserve"> </w:t>
      </w:r>
      <w:r w:rsidR="00DA528D">
        <w:rPr>
          <w:rFonts w:ascii="Tw Cen MT" w:hAnsi="Tw Cen MT" w:cs="Arial"/>
          <w:bCs/>
          <w:iCs/>
          <w:lang w:eastAsia="en-US"/>
        </w:rPr>
        <w:t>including an optional tranche under Component II (related to Georgia)</w:t>
      </w:r>
      <w:r w:rsidR="00EE3B54" w:rsidRPr="00EE3B54">
        <w:rPr>
          <w:rFonts w:ascii="Tw Cen MT" w:hAnsi="Tw Cen MT" w:cs="Arial"/>
          <w:bCs/>
          <w:iCs/>
          <w:lang w:eastAsia="en-US"/>
        </w:rPr>
        <w:t>.</w:t>
      </w:r>
      <w:r w:rsidR="003A5DAA" w:rsidRPr="00BA1093">
        <w:rPr>
          <w:rFonts w:ascii="Tw Cen MT" w:hAnsi="Tw Cen MT" w:cs="Arial"/>
          <w:bCs/>
          <w:iCs/>
          <w:lang w:eastAsia="en-US"/>
        </w:rPr>
        <w:t xml:space="preserve"> </w:t>
      </w:r>
      <w:r w:rsidR="00265579" w:rsidRPr="00BA1093">
        <w:rPr>
          <w:rFonts w:ascii="Tw Cen MT" w:hAnsi="Tw Cen MT" w:cs="Arial"/>
          <w:bCs/>
          <w:iCs/>
          <w:lang w:eastAsia="en-US"/>
        </w:rPr>
        <w:t>Moreover, the mission leader shall ensure a significant part of the assignment</w:t>
      </w:r>
      <w:r w:rsidR="0088232D">
        <w:rPr>
          <w:rFonts w:ascii="Tw Cen MT" w:hAnsi="Tw Cen MT" w:cs="Arial"/>
          <w:bCs/>
          <w:iCs/>
          <w:lang w:eastAsia="en-US"/>
        </w:rPr>
        <w:t xml:space="preserve">, </w:t>
      </w:r>
      <w:r w:rsidR="0088232D" w:rsidRPr="00827E68">
        <w:rPr>
          <w:rFonts w:ascii="Tw Cen MT" w:hAnsi="Tw Cen MT" w:cs="Arial"/>
          <w:bCs/>
          <w:iCs/>
          <w:lang w:eastAsia="en-US"/>
        </w:rPr>
        <w:t>participating directly in key activities such as stakeholder interviews, analysis, and the preparation of deliverables.</w:t>
      </w:r>
    </w:p>
    <w:p w14:paraId="61BD0509" w14:textId="77777777" w:rsidR="003B1364" w:rsidRDefault="003B1364" w:rsidP="003B1364">
      <w:pPr>
        <w:jc w:val="center"/>
        <w:rPr>
          <w:rFonts w:ascii="Tw Cen MT" w:hAnsi="Tw Cen MT" w:cs="Arial"/>
          <w:bCs/>
          <w:i/>
          <w:lang w:val="en-US" w:eastAsia="en-US"/>
        </w:rPr>
      </w:pPr>
    </w:p>
    <w:p w14:paraId="3025138B" w14:textId="77777777" w:rsidR="003B1364" w:rsidRDefault="003B1364" w:rsidP="003B1364">
      <w:pPr>
        <w:jc w:val="center"/>
        <w:rPr>
          <w:rFonts w:ascii="Tw Cen MT" w:hAnsi="Tw Cen MT" w:cs="Arial"/>
          <w:bCs/>
          <w:i/>
          <w:lang w:val="en-US" w:eastAsia="en-US"/>
        </w:rPr>
      </w:pPr>
    </w:p>
    <w:p w14:paraId="668395A8" w14:textId="77777777" w:rsidR="003B1364" w:rsidRDefault="003B1364" w:rsidP="003B1364">
      <w:pPr>
        <w:jc w:val="center"/>
        <w:rPr>
          <w:rFonts w:ascii="Tw Cen MT" w:hAnsi="Tw Cen MT" w:cs="Arial"/>
          <w:bCs/>
          <w:i/>
          <w:lang w:val="en-US" w:eastAsia="en-US"/>
        </w:rPr>
      </w:pPr>
    </w:p>
    <w:p w14:paraId="49D3640F" w14:textId="77777777" w:rsidR="003B1364" w:rsidRDefault="003B1364" w:rsidP="003B1364">
      <w:pPr>
        <w:jc w:val="center"/>
        <w:rPr>
          <w:rFonts w:ascii="Tw Cen MT" w:hAnsi="Tw Cen MT" w:cs="Arial"/>
          <w:bCs/>
          <w:i/>
          <w:lang w:val="en-US" w:eastAsia="en-US"/>
        </w:rPr>
      </w:pPr>
    </w:p>
    <w:p w14:paraId="3C15E2B8" w14:textId="77777777" w:rsidR="003B1364" w:rsidRDefault="003B1364" w:rsidP="003B1364">
      <w:pPr>
        <w:jc w:val="center"/>
        <w:rPr>
          <w:rFonts w:ascii="Tw Cen MT" w:hAnsi="Tw Cen MT" w:cs="Arial"/>
          <w:bCs/>
          <w:i/>
          <w:lang w:val="en-US" w:eastAsia="en-US"/>
        </w:rPr>
      </w:pPr>
    </w:p>
    <w:p w14:paraId="161C6C80" w14:textId="400933D2" w:rsidR="00B276BD" w:rsidRPr="003B1364" w:rsidRDefault="003B1364" w:rsidP="003B1364">
      <w:pPr>
        <w:jc w:val="center"/>
        <w:rPr>
          <w:rFonts w:ascii="Tw Cen MT" w:hAnsi="Tw Cen MT" w:cs="Arial"/>
          <w:bCs/>
          <w:i/>
          <w:lang w:val="en-US" w:eastAsia="en-US"/>
        </w:rPr>
      </w:pPr>
      <w:r w:rsidRPr="003B1364">
        <w:rPr>
          <w:rFonts w:ascii="Tw Cen MT" w:hAnsi="Tw Cen MT" w:cs="Arial"/>
          <w:bCs/>
          <w:i/>
          <w:lang w:val="en-US" w:eastAsia="en-US"/>
        </w:rPr>
        <w:lastRenderedPageBreak/>
        <w:t>Estimated Work Breakdown (Man-Days)</w:t>
      </w:r>
    </w:p>
    <w:tbl>
      <w:tblPr>
        <w:tblW w:w="10262" w:type="dxa"/>
        <w:tblCellSpacing w:w="15" w:type="dxa"/>
        <w:shd w:val="clear" w:color="auto" w:fill="D9D9D9" w:themeFill="background1" w:themeFillShade="D9"/>
        <w:tblLook w:val="04A0" w:firstRow="1" w:lastRow="0" w:firstColumn="1" w:lastColumn="0" w:noHBand="0" w:noVBand="1"/>
      </w:tblPr>
      <w:tblGrid>
        <w:gridCol w:w="2217"/>
        <w:gridCol w:w="7095"/>
        <w:gridCol w:w="950"/>
      </w:tblGrid>
      <w:tr w:rsidR="003B1364" w14:paraId="2582C2A4" w14:textId="77777777" w:rsidTr="003B1364">
        <w:trPr>
          <w:trHeight w:val="119"/>
          <w:tblHeader/>
          <w:tblCellSpacing w:w="15" w:type="dxa"/>
        </w:trPr>
        <w:tc>
          <w:tcPr>
            <w:tcW w:w="2145" w:type="dxa"/>
            <w:shd w:val="clear" w:color="auto" w:fill="D9D9D9" w:themeFill="background1" w:themeFillShade="D9"/>
            <w:tcMar>
              <w:top w:w="15" w:type="dxa"/>
              <w:left w:w="15" w:type="dxa"/>
              <w:bottom w:w="15" w:type="dxa"/>
              <w:right w:w="15" w:type="dxa"/>
            </w:tcMar>
            <w:vAlign w:val="center"/>
            <w:hideMark/>
          </w:tcPr>
          <w:p w14:paraId="73FDA86C" w14:textId="77777777" w:rsidR="00B276BD" w:rsidRDefault="00B276BD">
            <w:pPr>
              <w:rPr>
                <w:rFonts w:ascii="Calibri" w:hAnsi="Calibri" w:cs="Calibri"/>
                <w:b/>
                <w:bCs/>
                <w:sz w:val="20"/>
                <w:szCs w:val="20"/>
              </w:rPr>
            </w:pPr>
            <w:r>
              <w:rPr>
                <w:rFonts w:ascii="Calibri" w:hAnsi="Calibri" w:cs="Calibri"/>
                <w:b/>
                <w:bCs/>
                <w:sz w:val="20"/>
                <w:szCs w:val="20"/>
              </w:rPr>
              <w:t>Component</w:t>
            </w:r>
          </w:p>
        </w:tc>
        <w:tc>
          <w:tcPr>
            <w:tcW w:w="7092" w:type="dxa"/>
            <w:shd w:val="clear" w:color="auto" w:fill="D9D9D9" w:themeFill="background1" w:themeFillShade="D9"/>
            <w:tcMar>
              <w:top w:w="15" w:type="dxa"/>
              <w:left w:w="15" w:type="dxa"/>
              <w:bottom w:w="15" w:type="dxa"/>
              <w:right w:w="15" w:type="dxa"/>
            </w:tcMar>
            <w:vAlign w:val="center"/>
            <w:hideMark/>
          </w:tcPr>
          <w:p w14:paraId="6533399C" w14:textId="77777777" w:rsidR="00B276BD" w:rsidRDefault="00B276BD">
            <w:pPr>
              <w:rPr>
                <w:rFonts w:ascii="Calibri" w:hAnsi="Calibri" w:cs="Calibri"/>
                <w:b/>
                <w:bCs/>
                <w:sz w:val="20"/>
                <w:szCs w:val="20"/>
              </w:rPr>
            </w:pPr>
            <w:r>
              <w:rPr>
                <w:rFonts w:ascii="Calibri" w:hAnsi="Calibri" w:cs="Calibri"/>
                <w:b/>
                <w:bCs/>
                <w:sz w:val="20"/>
                <w:szCs w:val="20"/>
              </w:rPr>
              <w:t>Main Activities</w:t>
            </w:r>
          </w:p>
        </w:tc>
        <w:tc>
          <w:tcPr>
            <w:tcW w:w="905" w:type="dxa"/>
            <w:shd w:val="clear" w:color="auto" w:fill="D9D9D9" w:themeFill="background1" w:themeFillShade="D9"/>
            <w:tcMar>
              <w:top w:w="15" w:type="dxa"/>
              <w:left w:w="15" w:type="dxa"/>
              <w:bottom w:w="15" w:type="dxa"/>
              <w:right w:w="15" w:type="dxa"/>
            </w:tcMar>
            <w:vAlign w:val="center"/>
            <w:hideMark/>
          </w:tcPr>
          <w:p w14:paraId="7935F19B" w14:textId="77777777" w:rsidR="00B276BD" w:rsidRDefault="00B276BD">
            <w:pPr>
              <w:rPr>
                <w:rFonts w:ascii="Calibri" w:hAnsi="Calibri" w:cs="Calibri"/>
                <w:b/>
                <w:bCs/>
                <w:sz w:val="20"/>
                <w:szCs w:val="20"/>
              </w:rPr>
            </w:pPr>
            <w:r>
              <w:rPr>
                <w:rFonts w:ascii="Calibri" w:hAnsi="Calibri" w:cs="Calibri"/>
                <w:b/>
                <w:bCs/>
                <w:sz w:val="20"/>
                <w:szCs w:val="20"/>
              </w:rPr>
              <w:t>Estimated Man-Days</w:t>
            </w:r>
          </w:p>
        </w:tc>
      </w:tr>
      <w:tr w:rsidR="00B276BD" w14:paraId="3000D712" w14:textId="77777777" w:rsidTr="003B1364">
        <w:trPr>
          <w:trHeight w:val="267"/>
          <w:tblCellSpacing w:w="15" w:type="dxa"/>
        </w:trPr>
        <w:tc>
          <w:tcPr>
            <w:tcW w:w="2145" w:type="dxa"/>
            <w:vMerge w:val="restart"/>
            <w:tcBorders>
              <w:top w:val="nil"/>
              <w:left w:val="nil"/>
              <w:bottom w:val="single" w:sz="4" w:space="0" w:color="auto"/>
              <w:right w:val="nil"/>
            </w:tcBorders>
            <w:shd w:val="clear" w:color="auto" w:fill="auto"/>
            <w:tcMar>
              <w:top w:w="15" w:type="dxa"/>
              <w:left w:w="15" w:type="dxa"/>
              <w:bottom w:w="15" w:type="dxa"/>
              <w:right w:w="15" w:type="dxa"/>
            </w:tcMar>
            <w:vAlign w:val="center"/>
            <w:hideMark/>
          </w:tcPr>
          <w:p w14:paraId="2471E6D2" w14:textId="77777777" w:rsidR="00B276BD" w:rsidRDefault="00B276BD">
            <w:pPr>
              <w:rPr>
                <w:rFonts w:ascii="Calibri" w:hAnsi="Calibri" w:cs="Calibri"/>
                <w:sz w:val="20"/>
                <w:szCs w:val="20"/>
                <w:lang w:val="en-US"/>
              </w:rPr>
            </w:pPr>
            <w:r>
              <w:rPr>
                <w:rFonts w:ascii="Calibri" w:hAnsi="Calibri" w:cs="Calibri"/>
                <w:b/>
                <w:bCs/>
                <w:sz w:val="20"/>
                <w:szCs w:val="20"/>
                <w:lang w:val="en-US"/>
              </w:rPr>
              <w:t>Component 1: Diagnostic of the Productive System &amp; SOEs’ Role</w:t>
            </w:r>
          </w:p>
        </w:tc>
        <w:tc>
          <w:tcPr>
            <w:tcW w:w="7092" w:type="dxa"/>
            <w:shd w:val="clear" w:color="auto" w:fill="auto"/>
            <w:tcMar>
              <w:top w:w="15" w:type="dxa"/>
              <w:left w:w="15" w:type="dxa"/>
              <w:bottom w:w="15" w:type="dxa"/>
              <w:right w:w="15" w:type="dxa"/>
            </w:tcMar>
            <w:vAlign w:val="center"/>
            <w:hideMark/>
          </w:tcPr>
          <w:p w14:paraId="40B0C694" w14:textId="76BAFF05" w:rsidR="00B276BD" w:rsidRDefault="00B276BD">
            <w:pPr>
              <w:rPr>
                <w:rFonts w:ascii="Calibri" w:hAnsi="Calibri" w:cs="Calibri"/>
                <w:sz w:val="20"/>
                <w:szCs w:val="20"/>
                <w:lang w:val="en-US"/>
              </w:rPr>
            </w:pPr>
            <w:r>
              <w:rPr>
                <w:rFonts w:ascii="Calibri" w:hAnsi="Calibri" w:cs="Calibri"/>
                <w:sz w:val="20"/>
                <w:szCs w:val="20"/>
                <w:lang w:val="en-US"/>
              </w:rPr>
              <w:t>Analysis of productive systems and SOEs’ contribution to economic sectors (energy, infrastructure, etc.); assessment of their governance and financial performance.</w:t>
            </w:r>
          </w:p>
        </w:tc>
        <w:tc>
          <w:tcPr>
            <w:tcW w:w="905" w:type="dxa"/>
            <w:shd w:val="clear" w:color="auto" w:fill="auto"/>
            <w:tcMar>
              <w:top w:w="15" w:type="dxa"/>
              <w:left w:w="15" w:type="dxa"/>
              <w:bottom w:w="15" w:type="dxa"/>
              <w:right w:w="15" w:type="dxa"/>
            </w:tcMar>
            <w:vAlign w:val="center"/>
            <w:hideMark/>
          </w:tcPr>
          <w:p w14:paraId="58BEEFC2" w14:textId="77777777" w:rsidR="00B276BD" w:rsidRDefault="00B276BD">
            <w:pPr>
              <w:rPr>
                <w:rFonts w:ascii="Calibri" w:hAnsi="Calibri" w:cs="Calibri"/>
                <w:sz w:val="20"/>
                <w:szCs w:val="20"/>
                <w:lang w:val="fr-FR"/>
              </w:rPr>
            </w:pPr>
            <w:r>
              <w:rPr>
                <w:rFonts w:ascii="Calibri" w:hAnsi="Calibri" w:cs="Calibri"/>
                <w:b/>
                <w:bCs/>
                <w:sz w:val="20"/>
                <w:szCs w:val="20"/>
              </w:rPr>
              <w:t>40–45 MD</w:t>
            </w:r>
          </w:p>
        </w:tc>
      </w:tr>
      <w:tr w:rsidR="00B276BD" w14:paraId="7DB4C6DF" w14:textId="77777777" w:rsidTr="003B1364">
        <w:trPr>
          <w:trHeight w:val="75"/>
          <w:tblCellSpacing w:w="15" w:type="dxa"/>
        </w:trPr>
        <w:tc>
          <w:tcPr>
            <w:tcW w:w="2145" w:type="dxa"/>
            <w:vMerge/>
            <w:tcBorders>
              <w:top w:val="nil"/>
              <w:left w:val="nil"/>
              <w:bottom w:val="single" w:sz="4" w:space="0" w:color="auto"/>
              <w:right w:val="nil"/>
            </w:tcBorders>
            <w:shd w:val="clear" w:color="auto" w:fill="D9D9D9" w:themeFill="background1" w:themeFillShade="D9"/>
            <w:vAlign w:val="center"/>
            <w:hideMark/>
          </w:tcPr>
          <w:p w14:paraId="2B478F1A" w14:textId="77777777" w:rsidR="00B276BD" w:rsidRDefault="00B276BD">
            <w:pPr>
              <w:rPr>
                <w:rFonts w:ascii="Calibri" w:eastAsiaTheme="minorHAnsi" w:hAnsi="Calibri" w:cs="Calibri"/>
                <w:sz w:val="20"/>
                <w:szCs w:val="20"/>
                <w:lang w:val="en-US" w:eastAsia="en-US"/>
                <w14:ligatures w14:val="standardContextual"/>
              </w:rPr>
            </w:pPr>
          </w:p>
        </w:tc>
        <w:tc>
          <w:tcPr>
            <w:tcW w:w="7092" w:type="dxa"/>
            <w:tcBorders>
              <w:top w:val="nil"/>
              <w:left w:val="nil"/>
              <w:bottom w:val="single" w:sz="4" w:space="0" w:color="auto"/>
              <w:right w:val="nil"/>
            </w:tcBorders>
            <w:shd w:val="clear" w:color="auto" w:fill="auto"/>
            <w:tcMar>
              <w:top w:w="15" w:type="dxa"/>
              <w:left w:w="15" w:type="dxa"/>
              <w:bottom w:w="15" w:type="dxa"/>
              <w:right w:w="15" w:type="dxa"/>
            </w:tcMar>
            <w:vAlign w:val="center"/>
            <w:hideMark/>
          </w:tcPr>
          <w:p w14:paraId="7349AFCF" w14:textId="77777777" w:rsidR="00B276BD" w:rsidRDefault="00B276BD">
            <w:pPr>
              <w:rPr>
                <w:rFonts w:ascii="Calibri" w:hAnsi="Calibri" w:cs="Calibri"/>
                <w:sz w:val="20"/>
                <w:szCs w:val="20"/>
                <w:lang w:val="en-US"/>
              </w:rPr>
            </w:pPr>
            <w:r>
              <w:rPr>
                <w:rFonts w:ascii="Calibri" w:hAnsi="Calibri" w:cs="Calibri"/>
                <w:sz w:val="20"/>
                <w:szCs w:val="20"/>
                <w:lang w:val="en-US"/>
              </w:rPr>
              <w:t xml:space="preserve">• Analysis of the productive structure and role of SOEs (10–12 MD) </w:t>
            </w:r>
            <w:r>
              <w:rPr>
                <w:rFonts w:ascii="Calibri" w:hAnsi="Calibri" w:cs="Calibri"/>
                <w:sz w:val="20"/>
                <w:szCs w:val="20"/>
                <w:lang w:val="en-US"/>
              </w:rPr>
              <w:br/>
              <w:t xml:space="preserve">• Mapping of regulatory and supervisory bodies (10–12 MD) </w:t>
            </w:r>
            <w:r>
              <w:rPr>
                <w:rFonts w:ascii="Calibri" w:hAnsi="Calibri" w:cs="Calibri"/>
                <w:sz w:val="20"/>
                <w:szCs w:val="20"/>
                <w:lang w:val="en-US"/>
              </w:rPr>
              <w:br/>
              <w:t>• Financial and governance analysis of key SOEs (15–18 MD)</w:t>
            </w:r>
          </w:p>
        </w:tc>
        <w:tc>
          <w:tcPr>
            <w:tcW w:w="905" w:type="dxa"/>
            <w:tcBorders>
              <w:top w:val="nil"/>
              <w:left w:val="nil"/>
              <w:bottom w:val="single" w:sz="4" w:space="0" w:color="auto"/>
              <w:right w:val="nil"/>
            </w:tcBorders>
            <w:shd w:val="clear" w:color="auto" w:fill="auto"/>
            <w:tcMar>
              <w:top w:w="15" w:type="dxa"/>
              <w:left w:w="15" w:type="dxa"/>
              <w:bottom w:w="15" w:type="dxa"/>
              <w:right w:w="15" w:type="dxa"/>
            </w:tcMar>
            <w:vAlign w:val="center"/>
            <w:hideMark/>
          </w:tcPr>
          <w:p w14:paraId="6CEA9075" w14:textId="77777777" w:rsidR="00B276BD" w:rsidRDefault="00B276BD">
            <w:pPr>
              <w:rPr>
                <w:rFonts w:ascii="Calibri" w:hAnsi="Calibri" w:cs="Calibri"/>
                <w:sz w:val="20"/>
                <w:szCs w:val="20"/>
                <w:lang w:val="en-US"/>
              </w:rPr>
            </w:pPr>
          </w:p>
        </w:tc>
      </w:tr>
      <w:tr w:rsidR="00B276BD" w14:paraId="35548DBE" w14:textId="77777777" w:rsidTr="003B1364">
        <w:trPr>
          <w:trHeight w:val="75"/>
          <w:tblCellSpacing w:w="15" w:type="dxa"/>
        </w:trPr>
        <w:tc>
          <w:tcPr>
            <w:tcW w:w="2145" w:type="dxa"/>
            <w:vMerge w:val="restart"/>
            <w:tcBorders>
              <w:top w:val="nil"/>
              <w:left w:val="nil"/>
              <w:bottom w:val="single" w:sz="4" w:space="0" w:color="auto"/>
              <w:right w:val="nil"/>
            </w:tcBorders>
            <w:shd w:val="clear" w:color="auto" w:fill="auto"/>
            <w:tcMar>
              <w:top w:w="15" w:type="dxa"/>
              <w:left w:w="15" w:type="dxa"/>
              <w:bottom w:w="15" w:type="dxa"/>
              <w:right w:w="15" w:type="dxa"/>
            </w:tcMar>
            <w:vAlign w:val="center"/>
            <w:hideMark/>
          </w:tcPr>
          <w:p w14:paraId="1B3E4848" w14:textId="77777777" w:rsidR="00B276BD" w:rsidRDefault="00B276BD">
            <w:pPr>
              <w:ind w:left="708"/>
              <w:rPr>
                <w:rFonts w:ascii="Calibri" w:eastAsiaTheme="minorHAnsi" w:hAnsi="Calibri" w:cs="Calibri"/>
                <w:i/>
                <w:iCs/>
                <w:sz w:val="20"/>
                <w:szCs w:val="20"/>
                <w:lang w:val="en-US" w:eastAsia="en-US"/>
                <w14:ligatures w14:val="standardContextual"/>
              </w:rPr>
            </w:pPr>
            <w:r>
              <w:rPr>
                <w:rFonts w:ascii="Calibri" w:hAnsi="Calibri" w:cs="Calibri"/>
                <w:b/>
                <w:bCs/>
                <w:i/>
                <w:iCs/>
                <w:sz w:val="20"/>
                <w:szCs w:val="20"/>
                <w:lang w:val="en-US"/>
              </w:rPr>
              <w:t>Component 1.A: Entrepreneurship Ecosystem Analysis</w:t>
            </w:r>
          </w:p>
        </w:tc>
        <w:tc>
          <w:tcPr>
            <w:tcW w:w="7092" w:type="dxa"/>
            <w:shd w:val="clear" w:color="auto" w:fill="auto"/>
            <w:tcMar>
              <w:top w:w="15" w:type="dxa"/>
              <w:left w:w="15" w:type="dxa"/>
              <w:bottom w:w="15" w:type="dxa"/>
              <w:right w:w="15" w:type="dxa"/>
            </w:tcMar>
            <w:vAlign w:val="center"/>
            <w:hideMark/>
          </w:tcPr>
          <w:p w14:paraId="3F67C1F5" w14:textId="77777777" w:rsidR="00B276BD" w:rsidRDefault="00B276BD">
            <w:pPr>
              <w:rPr>
                <w:rFonts w:ascii="Calibri" w:hAnsi="Calibri" w:cs="Calibri"/>
                <w:sz w:val="20"/>
                <w:szCs w:val="20"/>
                <w:lang w:val="en-US"/>
              </w:rPr>
            </w:pPr>
            <w:r>
              <w:rPr>
                <w:rFonts w:ascii="Calibri" w:hAnsi="Calibri" w:cs="Calibri"/>
                <w:sz w:val="20"/>
                <w:szCs w:val="20"/>
                <w:lang w:val="en-US"/>
              </w:rPr>
              <w:t>Targeted review of Armenia’s and Georgia’s entrepreneurship ecosystems, focusing on VSE/SME support, innovation, and access to finance.</w:t>
            </w:r>
          </w:p>
        </w:tc>
        <w:tc>
          <w:tcPr>
            <w:tcW w:w="905" w:type="dxa"/>
            <w:shd w:val="clear" w:color="auto" w:fill="auto"/>
            <w:tcMar>
              <w:top w:w="15" w:type="dxa"/>
              <w:left w:w="15" w:type="dxa"/>
              <w:bottom w:w="15" w:type="dxa"/>
              <w:right w:w="15" w:type="dxa"/>
            </w:tcMar>
            <w:vAlign w:val="center"/>
            <w:hideMark/>
          </w:tcPr>
          <w:p w14:paraId="0A8898A4" w14:textId="77777777" w:rsidR="00B276BD" w:rsidRDefault="00B276BD">
            <w:pPr>
              <w:rPr>
                <w:rFonts w:ascii="Calibri" w:hAnsi="Calibri" w:cs="Calibri"/>
                <w:sz w:val="20"/>
                <w:szCs w:val="20"/>
                <w:lang w:val="fr-FR"/>
              </w:rPr>
            </w:pPr>
            <w:r>
              <w:rPr>
                <w:rFonts w:ascii="Calibri" w:hAnsi="Calibri" w:cs="Calibri"/>
                <w:b/>
                <w:bCs/>
                <w:sz w:val="20"/>
                <w:szCs w:val="20"/>
              </w:rPr>
              <w:t>20–25 MD</w:t>
            </w:r>
          </w:p>
        </w:tc>
      </w:tr>
      <w:tr w:rsidR="00B276BD" w14:paraId="75538F73" w14:textId="77777777" w:rsidTr="003B1364">
        <w:trPr>
          <w:trHeight w:val="75"/>
          <w:tblCellSpacing w:w="15" w:type="dxa"/>
        </w:trPr>
        <w:tc>
          <w:tcPr>
            <w:tcW w:w="2145" w:type="dxa"/>
            <w:vMerge/>
            <w:tcBorders>
              <w:top w:val="nil"/>
              <w:left w:val="nil"/>
              <w:bottom w:val="single" w:sz="4" w:space="0" w:color="auto"/>
              <w:right w:val="nil"/>
            </w:tcBorders>
            <w:shd w:val="clear" w:color="auto" w:fill="D9D9D9" w:themeFill="background1" w:themeFillShade="D9"/>
            <w:vAlign w:val="center"/>
            <w:hideMark/>
          </w:tcPr>
          <w:p w14:paraId="07CE746A" w14:textId="77777777" w:rsidR="00B276BD" w:rsidRDefault="00B276BD">
            <w:pPr>
              <w:rPr>
                <w:rFonts w:ascii="Calibri" w:eastAsiaTheme="minorHAnsi" w:hAnsi="Calibri" w:cs="Calibri"/>
                <w:i/>
                <w:iCs/>
                <w:sz w:val="20"/>
                <w:szCs w:val="20"/>
                <w:lang w:val="en-US" w:eastAsia="en-US"/>
                <w14:ligatures w14:val="standardContextual"/>
              </w:rPr>
            </w:pPr>
          </w:p>
        </w:tc>
        <w:tc>
          <w:tcPr>
            <w:tcW w:w="7092" w:type="dxa"/>
            <w:tcBorders>
              <w:top w:val="nil"/>
              <w:left w:val="nil"/>
              <w:bottom w:val="single" w:sz="4" w:space="0" w:color="auto"/>
              <w:right w:val="nil"/>
            </w:tcBorders>
            <w:shd w:val="clear" w:color="auto" w:fill="auto"/>
            <w:tcMar>
              <w:top w:w="15" w:type="dxa"/>
              <w:left w:w="15" w:type="dxa"/>
              <w:bottom w:w="15" w:type="dxa"/>
              <w:right w:w="15" w:type="dxa"/>
            </w:tcMar>
            <w:vAlign w:val="center"/>
            <w:hideMark/>
          </w:tcPr>
          <w:p w14:paraId="1654B770" w14:textId="77777777" w:rsidR="00B276BD" w:rsidRDefault="00B276BD">
            <w:pPr>
              <w:rPr>
                <w:rFonts w:ascii="Calibri" w:hAnsi="Calibri" w:cs="Calibri"/>
                <w:sz w:val="20"/>
                <w:szCs w:val="20"/>
                <w:lang w:val="en-US"/>
              </w:rPr>
            </w:pPr>
            <w:r>
              <w:rPr>
                <w:rFonts w:ascii="Calibri" w:hAnsi="Calibri" w:cs="Calibri"/>
                <w:sz w:val="20"/>
                <w:szCs w:val="20"/>
                <w:lang w:val="en-US"/>
              </w:rPr>
              <w:t xml:space="preserve">• Review of SME/VSE landscape and key barriers (5–7 MD) </w:t>
            </w:r>
            <w:r>
              <w:rPr>
                <w:rFonts w:ascii="Calibri" w:hAnsi="Calibri" w:cs="Calibri"/>
                <w:sz w:val="20"/>
                <w:szCs w:val="20"/>
                <w:lang w:val="en-US"/>
              </w:rPr>
              <w:br/>
              <w:t xml:space="preserve">• Mapping of support mechanisms and stakeholders (7–8 MD) </w:t>
            </w:r>
            <w:r>
              <w:rPr>
                <w:rFonts w:ascii="Calibri" w:hAnsi="Calibri" w:cs="Calibri"/>
                <w:sz w:val="20"/>
                <w:szCs w:val="20"/>
                <w:lang w:val="en-US"/>
              </w:rPr>
              <w:br/>
              <w:t>• Strategic recommendations (7–10 MD)</w:t>
            </w:r>
          </w:p>
        </w:tc>
        <w:tc>
          <w:tcPr>
            <w:tcW w:w="905" w:type="dxa"/>
            <w:tcBorders>
              <w:top w:val="nil"/>
              <w:left w:val="nil"/>
              <w:bottom w:val="single" w:sz="4" w:space="0" w:color="auto"/>
              <w:right w:val="nil"/>
            </w:tcBorders>
            <w:shd w:val="clear" w:color="auto" w:fill="auto"/>
            <w:tcMar>
              <w:top w:w="15" w:type="dxa"/>
              <w:left w:w="15" w:type="dxa"/>
              <w:bottom w:w="15" w:type="dxa"/>
              <w:right w:w="15" w:type="dxa"/>
            </w:tcMar>
            <w:vAlign w:val="center"/>
            <w:hideMark/>
          </w:tcPr>
          <w:p w14:paraId="4B0E0E9E" w14:textId="77777777" w:rsidR="00B276BD" w:rsidRDefault="00B276BD">
            <w:pPr>
              <w:rPr>
                <w:rFonts w:ascii="Calibri" w:hAnsi="Calibri" w:cs="Calibri"/>
                <w:sz w:val="20"/>
                <w:szCs w:val="20"/>
                <w:lang w:val="en-US"/>
              </w:rPr>
            </w:pPr>
          </w:p>
        </w:tc>
      </w:tr>
      <w:tr w:rsidR="00B276BD" w14:paraId="24ED4089" w14:textId="77777777" w:rsidTr="003B1364">
        <w:trPr>
          <w:trHeight w:val="75"/>
          <w:tblCellSpacing w:w="15" w:type="dxa"/>
        </w:trPr>
        <w:tc>
          <w:tcPr>
            <w:tcW w:w="2145" w:type="dxa"/>
            <w:vMerge w:val="restart"/>
            <w:shd w:val="clear" w:color="auto" w:fill="auto"/>
            <w:tcMar>
              <w:top w:w="15" w:type="dxa"/>
              <w:left w:w="15" w:type="dxa"/>
              <w:bottom w:w="15" w:type="dxa"/>
              <w:right w:w="15" w:type="dxa"/>
            </w:tcMar>
            <w:vAlign w:val="center"/>
            <w:hideMark/>
          </w:tcPr>
          <w:p w14:paraId="21B316A1" w14:textId="77777777" w:rsidR="00B276BD" w:rsidRDefault="00B276BD">
            <w:pPr>
              <w:rPr>
                <w:rFonts w:ascii="Calibri" w:eastAsiaTheme="minorHAnsi" w:hAnsi="Calibri" w:cs="Calibri"/>
                <w:sz w:val="20"/>
                <w:szCs w:val="20"/>
                <w:lang w:val="en-US" w:eastAsia="en-US"/>
                <w14:ligatures w14:val="standardContextual"/>
              </w:rPr>
            </w:pPr>
            <w:r>
              <w:rPr>
                <w:rFonts w:ascii="Calibri" w:hAnsi="Calibri" w:cs="Calibri"/>
                <w:b/>
                <w:bCs/>
                <w:sz w:val="20"/>
                <w:szCs w:val="20"/>
                <w:lang w:val="en-US"/>
              </w:rPr>
              <w:t>Component 2: Identification of Potential for Support &amp; Strategic Recommendations</w:t>
            </w:r>
          </w:p>
        </w:tc>
        <w:tc>
          <w:tcPr>
            <w:tcW w:w="7092" w:type="dxa"/>
            <w:shd w:val="clear" w:color="auto" w:fill="auto"/>
            <w:tcMar>
              <w:top w:w="15" w:type="dxa"/>
              <w:left w:w="15" w:type="dxa"/>
              <w:bottom w:w="15" w:type="dxa"/>
              <w:right w:w="15" w:type="dxa"/>
            </w:tcMar>
            <w:vAlign w:val="center"/>
            <w:hideMark/>
          </w:tcPr>
          <w:p w14:paraId="6E77EF09" w14:textId="77777777" w:rsidR="00B276BD" w:rsidRDefault="00B276BD">
            <w:pPr>
              <w:rPr>
                <w:rFonts w:ascii="Calibri" w:hAnsi="Calibri" w:cs="Calibri"/>
                <w:sz w:val="20"/>
                <w:szCs w:val="20"/>
                <w:lang w:val="en-US"/>
              </w:rPr>
            </w:pPr>
            <w:r>
              <w:rPr>
                <w:rFonts w:ascii="Calibri" w:hAnsi="Calibri" w:cs="Calibri"/>
                <w:sz w:val="20"/>
                <w:szCs w:val="20"/>
                <w:lang w:val="en-US"/>
              </w:rPr>
              <w:t>Identification of investment opportunities, alignment with AFD’s non-sovereign financing instruments, and development of a pipeline of priority SOEs.</w:t>
            </w:r>
          </w:p>
        </w:tc>
        <w:tc>
          <w:tcPr>
            <w:tcW w:w="905" w:type="dxa"/>
            <w:shd w:val="clear" w:color="auto" w:fill="auto"/>
            <w:tcMar>
              <w:top w:w="15" w:type="dxa"/>
              <w:left w:w="15" w:type="dxa"/>
              <w:bottom w:w="15" w:type="dxa"/>
              <w:right w:w="15" w:type="dxa"/>
            </w:tcMar>
            <w:vAlign w:val="center"/>
            <w:hideMark/>
          </w:tcPr>
          <w:p w14:paraId="0A1A103A" w14:textId="77777777" w:rsidR="00B276BD" w:rsidRDefault="00B276BD">
            <w:pPr>
              <w:rPr>
                <w:rFonts w:ascii="Calibri" w:hAnsi="Calibri" w:cs="Calibri"/>
                <w:sz w:val="20"/>
                <w:szCs w:val="20"/>
                <w:lang w:val="fr-FR"/>
              </w:rPr>
            </w:pPr>
            <w:r>
              <w:rPr>
                <w:rFonts w:ascii="Calibri" w:hAnsi="Calibri" w:cs="Calibri"/>
                <w:b/>
                <w:bCs/>
                <w:sz w:val="20"/>
                <w:szCs w:val="20"/>
              </w:rPr>
              <w:t>20–25 MD</w:t>
            </w:r>
          </w:p>
        </w:tc>
      </w:tr>
      <w:tr w:rsidR="00B276BD" w14:paraId="52272409" w14:textId="77777777" w:rsidTr="003B1364">
        <w:trPr>
          <w:trHeight w:val="75"/>
          <w:tblCellSpacing w:w="15" w:type="dxa"/>
        </w:trPr>
        <w:tc>
          <w:tcPr>
            <w:tcW w:w="2145" w:type="dxa"/>
            <w:vMerge/>
            <w:shd w:val="clear" w:color="auto" w:fill="D9D9D9" w:themeFill="background1" w:themeFillShade="D9"/>
            <w:vAlign w:val="center"/>
            <w:hideMark/>
          </w:tcPr>
          <w:p w14:paraId="3CD19BD7" w14:textId="77777777" w:rsidR="00B276BD" w:rsidRDefault="00B276BD">
            <w:pPr>
              <w:rPr>
                <w:rFonts w:ascii="Calibri" w:eastAsiaTheme="minorHAnsi" w:hAnsi="Calibri" w:cs="Calibri"/>
                <w:sz w:val="20"/>
                <w:szCs w:val="20"/>
                <w:lang w:val="en-US" w:eastAsia="en-US"/>
                <w14:ligatures w14:val="standardContextual"/>
              </w:rPr>
            </w:pPr>
          </w:p>
        </w:tc>
        <w:tc>
          <w:tcPr>
            <w:tcW w:w="7092" w:type="dxa"/>
            <w:shd w:val="clear" w:color="auto" w:fill="auto"/>
            <w:tcMar>
              <w:top w:w="15" w:type="dxa"/>
              <w:left w:w="15" w:type="dxa"/>
              <w:bottom w:w="15" w:type="dxa"/>
              <w:right w:w="15" w:type="dxa"/>
            </w:tcMar>
            <w:vAlign w:val="center"/>
            <w:hideMark/>
          </w:tcPr>
          <w:p w14:paraId="5054594D" w14:textId="77777777" w:rsidR="00B276BD" w:rsidRDefault="00B276BD">
            <w:pPr>
              <w:rPr>
                <w:rFonts w:ascii="Calibri" w:hAnsi="Calibri" w:cs="Calibri"/>
                <w:sz w:val="20"/>
                <w:szCs w:val="20"/>
                <w:lang w:val="en-US"/>
              </w:rPr>
            </w:pPr>
            <w:r>
              <w:rPr>
                <w:rFonts w:ascii="Calibri" w:hAnsi="Calibri" w:cs="Calibri"/>
                <w:sz w:val="20"/>
                <w:szCs w:val="20"/>
                <w:lang w:val="en-US"/>
              </w:rPr>
              <w:t xml:space="preserve">• Identification of needs and areas for intervention (8–10 MD) </w:t>
            </w:r>
            <w:r>
              <w:rPr>
                <w:rFonts w:ascii="Calibri" w:hAnsi="Calibri" w:cs="Calibri"/>
                <w:sz w:val="20"/>
                <w:szCs w:val="20"/>
                <w:lang w:val="en-US"/>
              </w:rPr>
              <w:br/>
              <w:t xml:space="preserve">• Alignment with national/SDG strategies (5–7 MD) </w:t>
            </w:r>
            <w:r>
              <w:rPr>
                <w:rFonts w:ascii="Calibri" w:hAnsi="Calibri" w:cs="Calibri"/>
                <w:sz w:val="20"/>
                <w:szCs w:val="20"/>
                <w:lang w:val="en-US"/>
              </w:rPr>
              <w:br/>
              <w:t xml:space="preserve">• Access-to-finance and market analysis (5–7 MD) </w:t>
            </w:r>
            <w:r>
              <w:rPr>
                <w:rFonts w:ascii="Calibri" w:hAnsi="Calibri" w:cs="Calibri"/>
                <w:sz w:val="20"/>
                <w:szCs w:val="20"/>
                <w:lang w:val="en-US"/>
              </w:rPr>
              <w:br/>
              <w:t>• Pipeline of potential AFD-supported SOEs (5–7 MD)</w:t>
            </w:r>
          </w:p>
        </w:tc>
        <w:tc>
          <w:tcPr>
            <w:tcW w:w="905" w:type="dxa"/>
            <w:shd w:val="clear" w:color="auto" w:fill="auto"/>
            <w:tcMar>
              <w:top w:w="15" w:type="dxa"/>
              <w:left w:w="15" w:type="dxa"/>
              <w:bottom w:w="15" w:type="dxa"/>
              <w:right w:w="15" w:type="dxa"/>
            </w:tcMar>
            <w:vAlign w:val="center"/>
            <w:hideMark/>
          </w:tcPr>
          <w:p w14:paraId="4EF2C2C7" w14:textId="77777777" w:rsidR="00B276BD" w:rsidRDefault="00B276BD">
            <w:pPr>
              <w:rPr>
                <w:rFonts w:ascii="Calibri" w:hAnsi="Calibri" w:cs="Calibri"/>
                <w:sz w:val="20"/>
                <w:szCs w:val="20"/>
                <w:lang w:val="en-US"/>
              </w:rPr>
            </w:pPr>
          </w:p>
        </w:tc>
      </w:tr>
    </w:tbl>
    <w:p w14:paraId="3B072B9E" w14:textId="77777777" w:rsidR="00644AE8" w:rsidRPr="00BA1093" w:rsidRDefault="00644AE8" w:rsidP="00D94682">
      <w:pPr>
        <w:jc w:val="both"/>
        <w:rPr>
          <w:rFonts w:ascii="Tw Cen MT" w:hAnsi="Tw Cen MT" w:cs="Arial"/>
          <w:bCs/>
          <w:iCs/>
          <w:lang w:eastAsia="en-US"/>
        </w:rPr>
      </w:pPr>
    </w:p>
    <w:p w14:paraId="1D2117DB" w14:textId="77777777" w:rsidR="00644AE8" w:rsidRPr="00827E68" w:rsidRDefault="00644AE8" w:rsidP="00D94682">
      <w:pPr>
        <w:jc w:val="both"/>
        <w:rPr>
          <w:rFonts w:ascii="Tw Cen MT" w:hAnsi="Tw Cen MT" w:cs="Arial"/>
          <w:bCs/>
          <w:iCs/>
          <w:lang w:eastAsia="en-US"/>
        </w:rPr>
      </w:pPr>
      <w:r w:rsidRPr="00BA1093">
        <w:rPr>
          <w:rFonts w:ascii="Tw Cen MT" w:hAnsi="Tw Cen MT" w:cs="Arial"/>
          <w:bCs/>
          <w:iCs/>
          <w:lang w:eastAsia="en-US"/>
        </w:rPr>
        <w:t xml:space="preserve">All organizational fees for workshops, meetings, etc. shall be included in the financial proposal. </w:t>
      </w:r>
      <w:r w:rsidR="0088232D" w:rsidRPr="00827E68">
        <w:rPr>
          <w:rFonts w:ascii="Tw Cen MT" w:hAnsi="Tw Cen MT" w:cs="Arial"/>
          <w:bCs/>
          <w:iCs/>
          <w:lang w:eastAsia="en-US"/>
        </w:rPr>
        <w:t>. The Consultant is expected to provide a transparent breakdown of costs in the proposal.</w:t>
      </w:r>
    </w:p>
    <w:p w14:paraId="199CDCAA" w14:textId="77777777" w:rsidR="0088232D" w:rsidRPr="00827E68" w:rsidRDefault="0088232D" w:rsidP="00D94682">
      <w:pPr>
        <w:jc w:val="both"/>
        <w:rPr>
          <w:rFonts w:ascii="Tw Cen MT" w:hAnsi="Tw Cen MT" w:cs="Arial"/>
          <w:bCs/>
          <w:iCs/>
          <w:lang w:eastAsia="en-US"/>
        </w:rPr>
      </w:pPr>
    </w:p>
    <w:p w14:paraId="31CA30C3" w14:textId="0FB9CF4B" w:rsidR="0088232D" w:rsidRPr="00827E68" w:rsidRDefault="005318A1" w:rsidP="00D94682">
      <w:pPr>
        <w:jc w:val="both"/>
        <w:rPr>
          <w:rFonts w:ascii="Tw Cen MT" w:hAnsi="Tw Cen MT" w:cs="Arial"/>
          <w:bCs/>
          <w:iCs/>
          <w:lang w:eastAsia="en-US"/>
        </w:rPr>
      </w:pPr>
      <w:r>
        <w:rPr>
          <w:rFonts w:ascii="Tw Cen MT" w:hAnsi="Tw Cen MT" w:cs="Arial"/>
          <w:bCs/>
          <w:iCs/>
          <w:lang w:eastAsia="en-US"/>
        </w:rPr>
        <w:t>On a best effort basis, t</w:t>
      </w:r>
      <w:r w:rsidR="0088232D" w:rsidRPr="00827E68">
        <w:rPr>
          <w:rFonts w:ascii="Tw Cen MT" w:hAnsi="Tw Cen MT" w:cs="Arial"/>
          <w:bCs/>
          <w:iCs/>
          <w:lang w:eastAsia="en-US"/>
        </w:rPr>
        <w:t xml:space="preserve">he Consultant shall </w:t>
      </w:r>
      <w:r>
        <w:rPr>
          <w:rFonts w:ascii="Tw Cen MT" w:hAnsi="Tw Cen MT" w:cs="Arial"/>
          <w:bCs/>
          <w:iCs/>
          <w:lang w:eastAsia="en-US"/>
        </w:rPr>
        <w:t>seek</w:t>
      </w:r>
      <w:r w:rsidRPr="00827E68">
        <w:rPr>
          <w:rFonts w:ascii="Tw Cen MT" w:hAnsi="Tw Cen MT" w:cs="Arial"/>
          <w:bCs/>
          <w:iCs/>
          <w:lang w:eastAsia="en-US"/>
        </w:rPr>
        <w:t xml:space="preserve"> </w:t>
      </w:r>
      <w:r w:rsidR="0088232D" w:rsidRPr="00827E68">
        <w:rPr>
          <w:rFonts w:ascii="Tw Cen MT" w:hAnsi="Tw Cen MT" w:cs="Arial"/>
          <w:bCs/>
          <w:iCs/>
          <w:lang w:eastAsia="en-US"/>
        </w:rPr>
        <w:t>the participation of local experts or partnerships with local firms to enhance contextual understanding and ensure smoother collaboration with national stakeholders. This will also support capacity-building efforts and align with AFD’s commitment to inclusive development practices.</w:t>
      </w:r>
    </w:p>
    <w:p w14:paraId="34BD7BDD" w14:textId="77777777" w:rsidR="0088232D" w:rsidRPr="00827E68" w:rsidRDefault="0088232D" w:rsidP="00D94682">
      <w:pPr>
        <w:jc w:val="both"/>
        <w:rPr>
          <w:rFonts w:ascii="Tw Cen MT" w:hAnsi="Tw Cen MT" w:cs="Arial"/>
          <w:bCs/>
          <w:iCs/>
          <w:lang w:eastAsia="en-US"/>
        </w:rPr>
      </w:pPr>
    </w:p>
    <w:p w14:paraId="64458AA6" w14:textId="77777777" w:rsidR="0088232D" w:rsidRPr="00BA1093" w:rsidRDefault="0088232D" w:rsidP="00D94682">
      <w:pPr>
        <w:jc w:val="both"/>
        <w:rPr>
          <w:rFonts w:ascii="Tw Cen MT" w:hAnsi="Tw Cen MT" w:cs="Arial"/>
          <w:bCs/>
          <w:iCs/>
          <w:lang w:eastAsia="en-US"/>
        </w:rPr>
      </w:pPr>
      <w:r w:rsidRPr="00827E68">
        <w:rPr>
          <w:rFonts w:ascii="Tw Cen MT" w:hAnsi="Tw Cen MT" w:cs="Arial"/>
          <w:bCs/>
          <w:iCs/>
          <w:lang w:eastAsia="en-US"/>
        </w:rPr>
        <w:t>The service provider is required to have access to digital tools for remote communication and data collection, such as virtual platforms for meetings, cloud-based storage for document sharing, and survey tools to facilitate stakeholder engagement.</w:t>
      </w:r>
    </w:p>
    <w:p w14:paraId="5AE4F970" w14:textId="77777777" w:rsidR="00BA1093" w:rsidRPr="00BA1093" w:rsidRDefault="00BA1093" w:rsidP="00D94682">
      <w:pPr>
        <w:jc w:val="both"/>
        <w:rPr>
          <w:rFonts w:ascii="Tw Cen MT" w:hAnsi="Tw Cen MT" w:cs="Arial"/>
          <w:bCs/>
          <w:iCs/>
          <w:lang w:eastAsia="en-US"/>
        </w:rPr>
      </w:pPr>
    </w:p>
    <w:p w14:paraId="1D42368D" w14:textId="77777777" w:rsidR="00BA1093" w:rsidRPr="00BA1093" w:rsidRDefault="00BA1093" w:rsidP="00BA1093">
      <w:pPr>
        <w:jc w:val="both"/>
        <w:rPr>
          <w:rFonts w:ascii="Tw Cen MT" w:hAnsi="Tw Cen MT"/>
        </w:rPr>
      </w:pPr>
      <w:r w:rsidRPr="00BA1093">
        <w:rPr>
          <w:rFonts w:ascii="Tw Cen MT" w:hAnsi="Tw Cen MT"/>
        </w:rPr>
        <w:t>The work will be undertaken under the responsibility of the persons listed below:</w:t>
      </w:r>
    </w:p>
    <w:p w14:paraId="1033722D" w14:textId="77777777" w:rsidR="00BA1093" w:rsidRPr="00BA1093" w:rsidRDefault="00BA1093" w:rsidP="00BA1093">
      <w:pPr>
        <w:pStyle w:val="Paragraphedeliste"/>
        <w:numPr>
          <w:ilvl w:val="0"/>
          <w:numId w:val="22"/>
        </w:numPr>
        <w:rPr>
          <w:rFonts w:ascii="Tw Cen MT" w:hAnsi="Tw Cen MT"/>
          <w:sz w:val="24"/>
          <w:szCs w:val="24"/>
        </w:rPr>
      </w:pPr>
      <w:r w:rsidRPr="00BA1093">
        <w:rPr>
          <w:rFonts w:ascii="Tw Cen MT" w:hAnsi="Tw Cen MT"/>
          <w:sz w:val="24"/>
          <w:szCs w:val="24"/>
        </w:rPr>
        <w:t xml:space="preserve">Olga KOUKOUI,  Deputy Head of AFD in South Caucasus, </w:t>
      </w:r>
      <w:hyperlink r:id="rId19" w:history="1">
        <w:r w:rsidRPr="00BA1093">
          <w:rPr>
            <w:rStyle w:val="Lienhypertexte"/>
            <w:rFonts w:ascii="Tw Cen MT" w:hAnsi="Tw Cen MT"/>
            <w:sz w:val="24"/>
            <w:szCs w:val="24"/>
          </w:rPr>
          <w:t>koukouio@afd.fr</w:t>
        </w:r>
      </w:hyperlink>
    </w:p>
    <w:p w14:paraId="1887DD2F" w14:textId="5C5B0F98" w:rsidR="00BA1093" w:rsidRPr="00687A1E" w:rsidRDefault="00827E68" w:rsidP="00D94682">
      <w:pPr>
        <w:pStyle w:val="Paragraphedeliste"/>
        <w:numPr>
          <w:ilvl w:val="0"/>
          <w:numId w:val="22"/>
        </w:numPr>
        <w:rPr>
          <w:rFonts w:ascii="Tw Cen MT" w:hAnsi="Tw Cen MT"/>
          <w:sz w:val="24"/>
          <w:szCs w:val="24"/>
        </w:rPr>
      </w:pPr>
      <w:r w:rsidRPr="00D57C84">
        <w:rPr>
          <w:rFonts w:ascii="Tw Cen MT" w:hAnsi="Tw Cen MT"/>
          <w:sz w:val="24"/>
          <w:szCs w:val="24"/>
        </w:rPr>
        <w:t>Maria Dobrostamat</w:t>
      </w:r>
      <w:r w:rsidR="00BA1093" w:rsidRPr="00BA1093">
        <w:rPr>
          <w:rFonts w:ascii="Tw Cen MT" w:hAnsi="Tw Cen MT"/>
          <w:sz w:val="24"/>
          <w:szCs w:val="24"/>
        </w:rPr>
        <w:t xml:space="preserve"> Task Team Leader, </w:t>
      </w:r>
      <w:r>
        <w:rPr>
          <w:rFonts w:ascii="Tw Cen MT" w:hAnsi="Tw Cen MT"/>
          <w:sz w:val="24"/>
          <w:szCs w:val="24"/>
        </w:rPr>
        <w:t xml:space="preserve">Productive systems Division of AFD, based in Paris, </w:t>
      </w:r>
      <w:hyperlink r:id="rId20" w:history="1">
        <w:r w:rsidR="00A82BC4" w:rsidRPr="00CD2094">
          <w:rPr>
            <w:rStyle w:val="Lienhypertexte"/>
            <w:rFonts w:ascii="Tw Cen MT" w:hAnsi="Tw Cen MT"/>
            <w:sz w:val="24"/>
            <w:szCs w:val="24"/>
          </w:rPr>
          <w:t>dobrostamatm@afd.fr</w:t>
        </w:r>
      </w:hyperlink>
      <w:r w:rsidR="00A82BC4">
        <w:rPr>
          <w:rFonts w:ascii="Tw Cen MT" w:hAnsi="Tw Cen MT"/>
          <w:sz w:val="24"/>
          <w:szCs w:val="24"/>
        </w:rPr>
        <w:t xml:space="preserve"> </w:t>
      </w:r>
    </w:p>
    <w:p w14:paraId="2F3D1FAE" w14:textId="77777777" w:rsidR="003E57FF" w:rsidRPr="00BA1093" w:rsidRDefault="003E57FF" w:rsidP="00B8096A">
      <w:pPr>
        <w:jc w:val="both"/>
        <w:rPr>
          <w:rFonts w:ascii="Tw Cen MT" w:hAnsi="Tw Cen MT"/>
        </w:rPr>
      </w:pPr>
    </w:p>
    <w:p w14:paraId="56F51440" w14:textId="6B595C2C" w:rsidR="00BB118B" w:rsidRPr="00BA1093" w:rsidRDefault="00BB118B" w:rsidP="00B8096A">
      <w:pPr>
        <w:pStyle w:val="Titre2"/>
        <w:spacing w:before="0"/>
        <w:jc w:val="both"/>
        <w:rPr>
          <w:rFonts w:ascii="Tw Cen MT" w:hAnsi="Tw Cen MT"/>
          <w:sz w:val="24"/>
          <w:szCs w:val="24"/>
        </w:rPr>
      </w:pPr>
      <w:bookmarkStart w:id="19" w:name="_Toc322967815"/>
      <w:bookmarkStart w:id="20" w:name="_Toc82590882"/>
      <w:bookmarkStart w:id="21" w:name="_Toc195120127"/>
      <w:r w:rsidRPr="00BA1093">
        <w:rPr>
          <w:rFonts w:ascii="Tw Cen MT" w:hAnsi="Tw Cen MT"/>
          <w:sz w:val="24"/>
          <w:szCs w:val="24"/>
        </w:rPr>
        <w:t>Expected methodology</w:t>
      </w:r>
      <w:bookmarkEnd w:id="19"/>
      <w:bookmarkEnd w:id="20"/>
      <w:bookmarkEnd w:id="21"/>
    </w:p>
    <w:p w14:paraId="1316C461" w14:textId="77777777" w:rsidR="00DD7056" w:rsidRPr="00724343" w:rsidRDefault="00DD7056" w:rsidP="00B8096A">
      <w:pPr>
        <w:jc w:val="both"/>
        <w:rPr>
          <w:rFonts w:ascii="Tw Cen MT" w:hAnsi="Tw Cen MT"/>
        </w:rPr>
      </w:pPr>
      <w:bookmarkStart w:id="22" w:name="_Toc322957285"/>
      <w:bookmarkStart w:id="23" w:name="_Toc322967816"/>
    </w:p>
    <w:bookmarkEnd w:id="22"/>
    <w:bookmarkEnd w:id="23"/>
    <w:p w14:paraId="2E5971DA" w14:textId="35C9A4AF" w:rsidR="00724343" w:rsidRDefault="00724343" w:rsidP="00724343">
      <w:pPr>
        <w:jc w:val="both"/>
        <w:rPr>
          <w:rFonts w:ascii="Tw Cen MT" w:hAnsi="Tw Cen MT"/>
        </w:rPr>
      </w:pPr>
      <w:r w:rsidRPr="00724343">
        <w:rPr>
          <w:rFonts w:ascii="Tw Cen MT" w:hAnsi="Tw Cen MT"/>
        </w:rPr>
        <w:t xml:space="preserve">The budget and methodology will </w:t>
      </w:r>
      <w:r w:rsidR="0093341F">
        <w:rPr>
          <w:rFonts w:ascii="Tw Cen MT" w:hAnsi="Tw Cen MT"/>
        </w:rPr>
        <w:t xml:space="preserve">include a </w:t>
      </w:r>
      <w:r w:rsidRPr="00724343">
        <w:rPr>
          <w:rFonts w:ascii="Tw Cen MT" w:hAnsi="Tw Cen MT"/>
        </w:rPr>
        <w:t>detail</w:t>
      </w:r>
      <w:r w:rsidR="0093341F">
        <w:rPr>
          <w:rFonts w:ascii="Tw Cen MT" w:hAnsi="Tw Cen MT"/>
        </w:rPr>
        <w:t>ed</w:t>
      </w:r>
      <w:r w:rsidRPr="00724343">
        <w:rPr>
          <w:rFonts w:ascii="Tw Cen MT" w:hAnsi="Tw Cen MT"/>
        </w:rPr>
        <w:t xml:space="preserve"> the breakdown of the work</w:t>
      </w:r>
      <w:r w:rsidR="0093341F">
        <w:rPr>
          <w:rFonts w:ascii="Tw Cen MT" w:hAnsi="Tw Cen MT"/>
        </w:rPr>
        <w:t xml:space="preserve"> in man-days (H/D)</w:t>
      </w:r>
      <w:r w:rsidRPr="00724343">
        <w:rPr>
          <w:rFonts w:ascii="Tw Cen MT" w:hAnsi="Tw Cen MT"/>
        </w:rPr>
        <w:t>.</w:t>
      </w:r>
    </w:p>
    <w:p w14:paraId="5EECD13D" w14:textId="165A9066" w:rsidR="00FB5CA3" w:rsidRDefault="0093341F" w:rsidP="00724343">
      <w:pPr>
        <w:jc w:val="both"/>
        <w:rPr>
          <w:rFonts w:ascii="Tw Cen MT" w:hAnsi="Tw Cen MT"/>
        </w:rPr>
      </w:pPr>
      <w:r w:rsidRPr="0093341F">
        <w:rPr>
          <w:rFonts w:ascii="Tw Cen MT" w:hAnsi="Tw Cen MT"/>
        </w:rPr>
        <w:t xml:space="preserve">The decision to proceed with Component II in both countries or only in Armenia will be taken by AFD based on the conclusions of Component I on the opportunities, and the evolution of the strategic context. Accordingly, a portion of the global budget envelope related to Component II in Georgia is considered an optional tranche and may not be activated. </w:t>
      </w:r>
    </w:p>
    <w:p w14:paraId="5FD2ED79" w14:textId="77777777" w:rsidR="0093341F" w:rsidRDefault="0093341F" w:rsidP="00D94682">
      <w:pPr>
        <w:jc w:val="both"/>
        <w:rPr>
          <w:rFonts w:ascii="Tw Cen MT" w:hAnsi="Tw Cen MT"/>
          <w:lang w:val="en-US"/>
        </w:rPr>
      </w:pPr>
    </w:p>
    <w:p w14:paraId="6B786AA4" w14:textId="19729724" w:rsidR="00D94682" w:rsidRDefault="00D94682" w:rsidP="00D94682">
      <w:pPr>
        <w:jc w:val="both"/>
        <w:rPr>
          <w:rFonts w:ascii="Tw Cen MT" w:hAnsi="Tw Cen MT"/>
        </w:rPr>
      </w:pPr>
      <w:r w:rsidRPr="00BA1093">
        <w:rPr>
          <w:rFonts w:ascii="Tw Cen MT" w:hAnsi="Tw Cen MT"/>
        </w:rPr>
        <w:t>The service provider will propose a</w:t>
      </w:r>
      <w:r w:rsidR="009F6A16" w:rsidRPr="00BA1093">
        <w:rPr>
          <w:rFonts w:ascii="Tw Cen MT" w:hAnsi="Tw Cen MT"/>
        </w:rPr>
        <w:t xml:space="preserve"> relevant methodology to carry out the assignment in an operational and efficient way</w:t>
      </w:r>
      <w:r w:rsidR="009F6A16" w:rsidRPr="00F20141">
        <w:rPr>
          <w:rFonts w:ascii="Tw Cen MT" w:hAnsi="Tw Cen MT"/>
        </w:rPr>
        <w:t xml:space="preserve">. </w:t>
      </w:r>
      <w:r w:rsidRPr="00F20141">
        <w:rPr>
          <w:rFonts w:ascii="Tw Cen MT" w:hAnsi="Tw Cen MT"/>
        </w:rPr>
        <w:t xml:space="preserve"> </w:t>
      </w:r>
      <w:r w:rsidR="00BA1093" w:rsidRPr="00721272">
        <w:rPr>
          <w:rFonts w:ascii="Tw Cen MT" w:hAnsi="Tw Cen MT"/>
        </w:rPr>
        <w:t xml:space="preserve">The </w:t>
      </w:r>
      <w:r w:rsidR="00BA1093">
        <w:rPr>
          <w:rFonts w:ascii="Tw Cen MT" w:hAnsi="Tw Cen MT"/>
        </w:rPr>
        <w:t>Consultant</w:t>
      </w:r>
      <w:r w:rsidR="00BA1093" w:rsidRPr="00721272">
        <w:rPr>
          <w:rFonts w:ascii="Tw Cen MT" w:hAnsi="Tw Cen MT"/>
        </w:rPr>
        <w:t xml:space="preserve"> shall carry out the assignment through documentation review as well as with interviews with relevant stakeholders. The Consultant will be expected to </w:t>
      </w:r>
      <w:r w:rsidR="00BA1093">
        <w:rPr>
          <w:rFonts w:ascii="Tw Cen MT" w:hAnsi="Tw Cen MT"/>
        </w:rPr>
        <w:t>carry out at least part of the mission on-field in Georgia (mainly Tbilisi)</w:t>
      </w:r>
      <w:r w:rsidR="006A2A63">
        <w:rPr>
          <w:rFonts w:ascii="Tw Cen MT" w:hAnsi="Tw Cen MT"/>
        </w:rPr>
        <w:t xml:space="preserve"> and Armenia</w:t>
      </w:r>
      <w:r w:rsidR="00BA1093">
        <w:rPr>
          <w:rFonts w:ascii="Tw Cen MT" w:hAnsi="Tw Cen MT"/>
        </w:rPr>
        <w:t>.</w:t>
      </w:r>
    </w:p>
    <w:p w14:paraId="05A018A2" w14:textId="77777777" w:rsidR="00BA1093" w:rsidRDefault="00BA1093" w:rsidP="00D94682">
      <w:pPr>
        <w:jc w:val="both"/>
        <w:rPr>
          <w:rFonts w:ascii="Tw Cen MT" w:hAnsi="Tw Cen MT"/>
        </w:rPr>
      </w:pPr>
    </w:p>
    <w:p w14:paraId="69DDA67D" w14:textId="77777777" w:rsidR="00BA1093" w:rsidRDefault="00BA1093" w:rsidP="00D94682">
      <w:pPr>
        <w:jc w:val="both"/>
        <w:rPr>
          <w:rFonts w:ascii="Tw Cen MT" w:hAnsi="Tw Cen MT"/>
        </w:rPr>
      </w:pPr>
      <w:r>
        <w:rPr>
          <w:rFonts w:ascii="Tw Cen MT" w:hAnsi="Tw Cen MT"/>
        </w:rPr>
        <w:lastRenderedPageBreak/>
        <w:t>The Consultant is expected to collect most of the documentation needed for the assignment. The Consultant shall hold meetings or communications with key stakeholders in Georgia</w:t>
      </w:r>
      <w:r w:rsidR="006A2A63">
        <w:rPr>
          <w:rFonts w:ascii="Tw Cen MT" w:hAnsi="Tw Cen MT"/>
        </w:rPr>
        <w:t xml:space="preserve"> and Armenia</w:t>
      </w:r>
      <w:r>
        <w:rPr>
          <w:rFonts w:ascii="Tw Cen MT" w:hAnsi="Tw Cen MT"/>
        </w:rPr>
        <w:t>, including (non-exhaustive list):</w:t>
      </w:r>
    </w:p>
    <w:p w14:paraId="7748E69E" w14:textId="77777777" w:rsidR="00BA1093" w:rsidRDefault="00BA1093" w:rsidP="00BA1093">
      <w:pPr>
        <w:pStyle w:val="Paragraphedeliste"/>
        <w:numPr>
          <w:ilvl w:val="0"/>
          <w:numId w:val="22"/>
        </w:numPr>
        <w:rPr>
          <w:rFonts w:ascii="Tw Cen MT" w:hAnsi="Tw Cen MT"/>
          <w:sz w:val="24"/>
          <w:szCs w:val="24"/>
        </w:rPr>
      </w:pPr>
      <w:r w:rsidRPr="00BA1093">
        <w:rPr>
          <w:rFonts w:ascii="Tw Cen MT" w:eastAsia="Times New Roman" w:hAnsi="Tw Cen MT"/>
          <w:sz w:val="24"/>
          <w:szCs w:val="24"/>
          <w:lang w:eastAsia="fr-FR"/>
        </w:rPr>
        <w:t>Relevant ministries and government</w:t>
      </w:r>
      <w:r w:rsidRPr="00721272">
        <w:rPr>
          <w:rFonts w:ascii="Tw Cen MT" w:hAnsi="Tw Cen MT"/>
          <w:sz w:val="24"/>
          <w:szCs w:val="24"/>
        </w:rPr>
        <w:t xml:space="preserve"> bodies,</w:t>
      </w:r>
    </w:p>
    <w:p w14:paraId="7CF5D746" w14:textId="53DAEB05" w:rsidR="00BA1093" w:rsidRPr="00721272" w:rsidRDefault="00BA1093" w:rsidP="00BA1093">
      <w:pPr>
        <w:pStyle w:val="Paragraphedeliste"/>
        <w:numPr>
          <w:ilvl w:val="0"/>
          <w:numId w:val="22"/>
        </w:numPr>
        <w:rPr>
          <w:rFonts w:ascii="Tw Cen MT" w:hAnsi="Tw Cen MT"/>
          <w:sz w:val="24"/>
          <w:szCs w:val="24"/>
        </w:rPr>
      </w:pPr>
      <w:r>
        <w:rPr>
          <w:rFonts w:ascii="Tw Cen MT" w:hAnsi="Tw Cen MT"/>
          <w:sz w:val="24"/>
          <w:szCs w:val="24"/>
        </w:rPr>
        <w:t>The National Bank of Georgia</w:t>
      </w:r>
      <w:r w:rsidR="00827E68">
        <w:rPr>
          <w:rFonts w:ascii="Tw Cen MT" w:hAnsi="Tw Cen MT"/>
          <w:sz w:val="24"/>
          <w:szCs w:val="24"/>
        </w:rPr>
        <w:t xml:space="preserve"> and Armenia</w:t>
      </w:r>
      <w:r>
        <w:rPr>
          <w:rFonts w:ascii="Tw Cen MT" w:hAnsi="Tw Cen MT"/>
          <w:sz w:val="24"/>
          <w:szCs w:val="24"/>
        </w:rPr>
        <w:t>,</w:t>
      </w:r>
    </w:p>
    <w:p w14:paraId="7E50A4D8" w14:textId="17D65FD7" w:rsidR="00BA1093" w:rsidRDefault="00157697" w:rsidP="00BA1093">
      <w:pPr>
        <w:pStyle w:val="Paragraphedeliste"/>
        <w:numPr>
          <w:ilvl w:val="0"/>
          <w:numId w:val="22"/>
        </w:numPr>
        <w:rPr>
          <w:rFonts w:ascii="Tw Cen MT" w:hAnsi="Tw Cen MT"/>
          <w:sz w:val="24"/>
          <w:szCs w:val="24"/>
        </w:rPr>
      </w:pPr>
      <w:r>
        <w:rPr>
          <w:rFonts w:ascii="Tw Cen MT" w:hAnsi="Tw Cen MT"/>
          <w:sz w:val="24"/>
          <w:szCs w:val="24"/>
        </w:rPr>
        <w:t>K</w:t>
      </w:r>
      <w:r w:rsidR="00BA1093" w:rsidRPr="00721272">
        <w:rPr>
          <w:rFonts w:ascii="Tw Cen MT" w:hAnsi="Tw Cen MT"/>
          <w:sz w:val="24"/>
          <w:szCs w:val="24"/>
        </w:rPr>
        <w:t>ey local financial institutions,</w:t>
      </w:r>
    </w:p>
    <w:p w14:paraId="716463BF" w14:textId="66BD5340" w:rsidR="00157697" w:rsidRPr="00157697" w:rsidRDefault="00157697" w:rsidP="00157697">
      <w:pPr>
        <w:pStyle w:val="Paragraphedeliste"/>
        <w:numPr>
          <w:ilvl w:val="0"/>
          <w:numId w:val="22"/>
        </w:numPr>
        <w:rPr>
          <w:rFonts w:ascii="Tw Cen MT" w:hAnsi="Tw Cen MT"/>
          <w:sz w:val="24"/>
          <w:szCs w:val="24"/>
        </w:rPr>
      </w:pPr>
      <w:r>
        <w:rPr>
          <w:rFonts w:ascii="Tw Cen MT" w:hAnsi="Tw Cen MT"/>
          <w:sz w:val="24"/>
          <w:szCs w:val="24"/>
        </w:rPr>
        <w:t>R</w:t>
      </w:r>
      <w:r w:rsidR="00BA1093" w:rsidRPr="00F76B86">
        <w:rPr>
          <w:rFonts w:ascii="Tw Cen MT" w:hAnsi="Tw Cen MT"/>
          <w:sz w:val="24"/>
          <w:szCs w:val="24"/>
        </w:rPr>
        <w:t>elevant international financial institutions and donors involved in the support to the</w:t>
      </w:r>
      <w:r w:rsidR="00130672">
        <w:rPr>
          <w:rFonts w:ascii="Tw Cen MT" w:hAnsi="Tw Cen MT"/>
          <w:sz w:val="24"/>
          <w:szCs w:val="24"/>
        </w:rPr>
        <w:t xml:space="preserve"> major</w:t>
      </w:r>
      <w:r w:rsidR="00827E68">
        <w:rPr>
          <w:rFonts w:ascii="Tw Cen MT" w:hAnsi="Tw Cen MT"/>
          <w:sz w:val="24"/>
          <w:szCs w:val="24"/>
        </w:rPr>
        <w:t xml:space="preserve"> SOEs in its primary sectors of activity</w:t>
      </w:r>
      <w:r w:rsidR="000C5A42">
        <w:rPr>
          <w:rFonts w:ascii="Tw Cen MT" w:hAnsi="Tw Cen MT"/>
          <w:sz w:val="24"/>
          <w:szCs w:val="24"/>
        </w:rPr>
        <w:t>,</w:t>
      </w:r>
      <w:r w:rsidR="00827E68">
        <w:rPr>
          <w:rFonts w:ascii="Tw Cen MT" w:hAnsi="Tw Cen MT"/>
          <w:sz w:val="24"/>
          <w:szCs w:val="24"/>
        </w:rPr>
        <w:t xml:space="preserve"> </w:t>
      </w:r>
      <w:r w:rsidRPr="00157697">
        <w:rPr>
          <w:rFonts w:ascii="Tw Cen MT" w:hAnsi="Tw Cen MT"/>
          <w:sz w:val="24"/>
          <w:szCs w:val="24"/>
        </w:rPr>
        <w:t xml:space="preserve">(e.g., </w:t>
      </w:r>
      <w:proofErr w:type="spellStart"/>
      <w:r w:rsidRPr="00157697">
        <w:rPr>
          <w:rFonts w:ascii="Tw Cen MT" w:hAnsi="Tw Cen MT"/>
          <w:sz w:val="24"/>
          <w:szCs w:val="24"/>
        </w:rPr>
        <w:t>KfW</w:t>
      </w:r>
      <w:proofErr w:type="spellEnd"/>
      <w:r w:rsidRPr="00157697">
        <w:rPr>
          <w:rFonts w:ascii="Tw Cen MT" w:hAnsi="Tw Cen MT"/>
          <w:sz w:val="24"/>
          <w:szCs w:val="24"/>
        </w:rPr>
        <w:t>, EBRD, EIB, IFC, World Bank, EU Delegations, GIZ),</w:t>
      </w:r>
    </w:p>
    <w:p w14:paraId="20AB8B8B" w14:textId="34F08164" w:rsidR="00BA1093" w:rsidRPr="00157697" w:rsidRDefault="00157697" w:rsidP="00BA1093">
      <w:pPr>
        <w:pStyle w:val="Paragraphedeliste"/>
        <w:numPr>
          <w:ilvl w:val="0"/>
          <w:numId w:val="22"/>
        </w:numPr>
        <w:rPr>
          <w:rFonts w:ascii="Tw Cen MT" w:hAnsi="Tw Cen MT"/>
          <w:sz w:val="24"/>
          <w:szCs w:val="24"/>
        </w:rPr>
      </w:pPr>
      <w:r>
        <w:rPr>
          <w:rFonts w:ascii="Tw Cen MT" w:hAnsi="Tw Cen MT"/>
          <w:sz w:val="24"/>
          <w:szCs w:val="24"/>
        </w:rPr>
        <w:t>R</w:t>
      </w:r>
      <w:r w:rsidR="00BA1093">
        <w:rPr>
          <w:rFonts w:ascii="Tw Cen MT" w:hAnsi="Tw Cen MT"/>
          <w:sz w:val="24"/>
          <w:szCs w:val="24"/>
        </w:rPr>
        <w:t>elevant SOEs</w:t>
      </w:r>
      <w:r w:rsidRPr="00157697">
        <w:rPr>
          <w:rFonts w:ascii="Tw Cen MT" w:hAnsi="Tw Cen MT"/>
          <w:sz w:val="24"/>
          <w:szCs w:val="24"/>
        </w:rPr>
        <w:t xml:space="preserve"> (excluding entities linked to sanctioned interests),</w:t>
      </w:r>
    </w:p>
    <w:p w14:paraId="64C27C44" w14:textId="6B5F2D7D" w:rsidR="00157697" w:rsidRDefault="00157697" w:rsidP="00BA1093">
      <w:pPr>
        <w:pStyle w:val="Paragraphedeliste"/>
        <w:numPr>
          <w:ilvl w:val="0"/>
          <w:numId w:val="22"/>
        </w:numPr>
        <w:rPr>
          <w:rFonts w:ascii="Tw Cen MT" w:hAnsi="Tw Cen MT"/>
          <w:sz w:val="24"/>
          <w:szCs w:val="24"/>
        </w:rPr>
      </w:pPr>
      <w:r w:rsidRPr="00157697">
        <w:rPr>
          <w:rFonts w:ascii="Tw Cen MT" w:hAnsi="Tw Cen MT"/>
          <w:sz w:val="24"/>
          <w:szCs w:val="24"/>
        </w:rPr>
        <w:t>Incubators, accelerators, and entrepreneur</w:t>
      </w:r>
      <w:r w:rsidR="00FC4BE9">
        <w:rPr>
          <w:rFonts w:ascii="Tw Cen MT" w:hAnsi="Tw Cen MT"/>
          <w:sz w:val="24"/>
          <w:szCs w:val="24"/>
        </w:rPr>
        <w:t>ial</w:t>
      </w:r>
      <w:r w:rsidRPr="00157697">
        <w:rPr>
          <w:rFonts w:ascii="Tw Cen MT" w:hAnsi="Tw Cen MT"/>
          <w:sz w:val="24"/>
          <w:szCs w:val="24"/>
        </w:rPr>
        <w:t xml:space="preserve"> ecosystem actors.</w:t>
      </w:r>
    </w:p>
    <w:p w14:paraId="09EF4477" w14:textId="77777777" w:rsidR="00157697" w:rsidRDefault="00157697" w:rsidP="00157697">
      <w:pPr>
        <w:pStyle w:val="Paragraphedeliste"/>
        <w:rPr>
          <w:rFonts w:ascii="Tw Cen MT" w:hAnsi="Tw Cen MT"/>
          <w:sz w:val="24"/>
          <w:szCs w:val="24"/>
        </w:rPr>
      </w:pPr>
    </w:p>
    <w:p w14:paraId="5ACF96B3" w14:textId="77777777" w:rsidR="00BA1093" w:rsidRPr="00BA1093" w:rsidRDefault="00BA1093" w:rsidP="00BA1093">
      <w:pPr>
        <w:rPr>
          <w:rFonts w:ascii="Tw Cen MT" w:hAnsi="Tw Cen MT"/>
        </w:rPr>
      </w:pPr>
      <w:r w:rsidRPr="00BA1093">
        <w:rPr>
          <w:rFonts w:ascii="Tw Cen MT" w:hAnsi="Tw Cen MT"/>
        </w:rPr>
        <w:t>The Consultant shall organize at least the following meetings:</w:t>
      </w:r>
    </w:p>
    <w:p w14:paraId="68D545B0" w14:textId="77777777" w:rsidR="00BA1093" w:rsidRPr="00BA1093" w:rsidRDefault="00BA1093" w:rsidP="00BA1093">
      <w:pPr>
        <w:rPr>
          <w:rFonts w:ascii="Tw Cen MT" w:hAnsi="Tw Cen MT"/>
        </w:rPr>
      </w:pPr>
      <w:r w:rsidRPr="00BA1093">
        <w:rPr>
          <w:rFonts w:ascii="Tw Cen MT" w:hAnsi="Tw Cen MT"/>
        </w:rPr>
        <w:t>-</w:t>
      </w:r>
      <w:r w:rsidRPr="00BA1093">
        <w:rPr>
          <w:rFonts w:ascii="Tw Cen MT" w:hAnsi="Tw Cen MT"/>
        </w:rPr>
        <w:tab/>
        <w:t xml:space="preserve">one kick-off meeting following contract notification by </w:t>
      </w:r>
      <w:proofErr w:type="gramStart"/>
      <w:r w:rsidRPr="00BA1093">
        <w:rPr>
          <w:rFonts w:ascii="Tw Cen MT" w:hAnsi="Tw Cen MT"/>
        </w:rPr>
        <w:t>AFD ;</w:t>
      </w:r>
      <w:proofErr w:type="gramEnd"/>
    </w:p>
    <w:p w14:paraId="58DF6A05" w14:textId="77777777" w:rsidR="00BA1093" w:rsidRPr="00BA1093" w:rsidRDefault="00BA1093" w:rsidP="00BA1093">
      <w:pPr>
        <w:rPr>
          <w:rFonts w:ascii="Tw Cen MT" w:hAnsi="Tw Cen MT"/>
        </w:rPr>
      </w:pPr>
      <w:r w:rsidRPr="00BA1093">
        <w:rPr>
          <w:rFonts w:ascii="Tw Cen MT" w:hAnsi="Tw Cen MT"/>
        </w:rPr>
        <w:t>-</w:t>
      </w:r>
      <w:r w:rsidRPr="00BA1093">
        <w:rPr>
          <w:rFonts w:ascii="Tw Cen MT" w:hAnsi="Tw Cen MT"/>
        </w:rPr>
        <w:tab/>
        <w:t xml:space="preserve">periodic </w:t>
      </w:r>
      <w:proofErr w:type="gramStart"/>
      <w:r w:rsidRPr="00BA1093">
        <w:rPr>
          <w:rFonts w:ascii="Tw Cen MT" w:hAnsi="Tw Cen MT"/>
        </w:rPr>
        <w:t>calls  ;</w:t>
      </w:r>
      <w:proofErr w:type="gramEnd"/>
    </w:p>
    <w:p w14:paraId="0DF3300A" w14:textId="77777777" w:rsidR="00BA1093" w:rsidRPr="00BA1093" w:rsidRDefault="00BA1093" w:rsidP="00BA1093">
      <w:pPr>
        <w:rPr>
          <w:rFonts w:ascii="Tw Cen MT" w:hAnsi="Tw Cen MT"/>
        </w:rPr>
      </w:pPr>
      <w:r w:rsidRPr="00BA1093">
        <w:rPr>
          <w:rFonts w:ascii="Tw Cen MT" w:hAnsi="Tw Cen MT"/>
        </w:rPr>
        <w:t>-</w:t>
      </w:r>
      <w:r w:rsidRPr="00BA1093">
        <w:rPr>
          <w:rFonts w:ascii="Tw Cen MT" w:hAnsi="Tw Cen MT"/>
        </w:rPr>
        <w:tab/>
        <w:t>restitution meetings after delivery of each deliverable;</w:t>
      </w:r>
    </w:p>
    <w:p w14:paraId="4586AA87" w14:textId="77777777" w:rsidR="00BA1093" w:rsidRPr="00BA1093" w:rsidRDefault="00BA1093" w:rsidP="00BA1093">
      <w:pPr>
        <w:rPr>
          <w:rFonts w:ascii="Tw Cen MT" w:hAnsi="Tw Cen MT"/>
        </w:rPr>
      </w:pPr>
      <w:r w:rsidRPr="00BA1093">
        <w:rPr>
          <w:rFonts w:ascii="Tw Cen MT" w:hAnsi="Tw Cen MT"/>
        </w:rPr>
        <w:t>-</w:t>
      </w:r>
      <w:r w:rsidRPr="00BA1093">
        <w:rPr>
          <w:rFonts w:ascii="Tw Cen MT" w:hAnsi="Tw Cen MT"/>
        </w:rPr>
        <w:tab/>
        <w:t>meetings with relevant stakeholders throughout the study.</w:t>
      </w:r>
    </w:p>
    <w:p w14:paraId="5A48CE0A" w14:textId="77777777" w:rsidR="00BA1093" w:rsidRPr="00BA1093" w:rsidRDefault="00BA1093" w:rsidP="00BA1093">
      <w:pPr>
        <w:rPr>
          <w:rFonts w:ascii="Tw Cen MT" w:hAnsi="Tw Cen MT"/>
        </w:rPr>
      </w:pPr>
    </w:p>
    <w:p w14:paraId="36153D09" w14:textId="77777777" w:rsidR="00BA1093" w:rsidRPr="00BA1093" w:rsidRDefault="00BA1093" w:rsidP="00BA1093">
      <w:pPr>
        <w:rPr>
          <w:rFonts w:ascii="Tw Cen MT" w:hAnsi="Tw Cen MT"/>
        </w:rPr>
      </w:pPr>
      <w:r w:rsidRPr="00BA1093">
        <w:rPr>
          <w:rFonts w:ascii="Tw Cen MT" w:hAnsi="Tw Cen MT"/>
        </w:rPr>
        <w:t>In their proposal, the Consultant will include any comment or suggestion deemed relevant about the methodology.</w:t>
      </w:r>
    </w:p>
    <w:p w14:paraId="67D34F38" w14:textId="77777777" w:rsidR="00BA1093" w:rsidRPr="00BA1093" w:rsidRDefault="00BA1093" w:rsidP="00BA1093">
      <w:pPr>
        <w:rPr>
          <w:rFonts w:ascii="Tw Cen MT" w:hAnsi="Tw Cen MT"/>
        </w:rPr>
      </w:pPr>
    </w:p>
    <w:p w14:paraId="30930617" w14:textId="77777777" w:rsidR="00BB118B" w:rsidRPr="00F20141" w:rsidRDefault="00BB118B" w:rsidP="00B8096A">
      <w:pPr>
        <w:jc w:val="both"/>
        <w:rPr>
          <w:rFonts w:ascii="Tw Cen MT" w:hAnsi="Tw Cen MT"/>
        </w:rPr>
      </w:pPr>
    </w:p>
    <w:p w14:paraId="135D65AB" w14:textId="71B91FCE" w:rsidR="00BB118B" w:rsidRPr="00F20141" w:rsidRDefault="00130672" w:rsidP="00B8096A">
      <w:pPr>
        <w:pStyle w:val="Titre2"/>
        <w:spacing w:before="0"/>
        <w:jc w:val="both"/>
        <w:rPr>
          <w:rFonts w:ascii="Tw Cen MT" w:hAnsi="Tw Cen MT"/>
        </w:rPr>
      </w:pPr>
      <w:bookmarkStart w:id="24" w:name="_Toc322967818"/>
      <w:bookmarkStart w:id="25" w:name="_Toc82590883"/>
      <w:bookmarkStart w:id="26" w:name="_Toc195120128"/>
      <w:r>
        <w:rPr>
          <w:rFonts w:ascii="Tw Cen MT" w:hAnsi="Tw Cen MT"/>
        </w:rPr>
        <w:t>Estimated time</w:t>
      </w:r>
      <w:r w:rsidR="00BB118B" w:rsidRPr="00F20141">
        <w:rPr>
          <w:rFonts w:ascii="Tw Cen MT" w:hAnsi="Tw Cen MT"/>
        </w:rPr>
        <w:t>frame for the service</w:t>
      </w:r>
      <w:bookmarkEnd w:id="24"/>
      <w:r w:rsidR="00BB118B" w:rsidRPr="00F20141">
        <w:rPr>
          <w:rFonts w:ascii="Tw Cen MT" w:hAnsi="Tw Cen MT"/>
        </w:rPr>
        <w:t>, intermediate stages, response times, etc.</w:t>
      </w:r>
      <w:bookmarkEnd w:id="25"/>
      <w:bookmarkEnd w:id="26"/>
    </w:p>
    <w:p w14:paraId="01120546" w14:textId="77777777" w:rsidR="00BB118B" w:rsidRPr="00F20141" w:rsidRDefault="00BB118B" w:rsidP="00B8096A">
      <w:pPr>
        <w:jc w:val="both"/>
        <w:rPr>
          <w:rFonts w:ascii="Tw Cen MT" w:hAnsi="Tw Cen MT"/>
          <w:highlight w:val="yellow"/>
        </w:rPr>
      </w:pPr>
    </w:p>
    <w:p w14:paraId="1C289D65" w14:textId="72E52BE4" w:rsidR="00687A1E" w:rsidRPr="00687A1E" w:rsidRDefault="00D94682" w:rsidP="00687A1E">
      <w:pPr>
        <w:jc w:val="both"/>
        <w:rPr>
          <w:rFonts w:ascii="Tw Cen MT" w:hAnsi="Tw Cen MT" w:cs="Arial"/>
          <w:iCs/>
        </w:rPr>
      </w:pPr>
      <w:r w:rsidRPr="00F20141">
        <w:rPr>
          <w:rFonts w:ascii="Tw Cen MT" w:hAnsi="Tw Cen MT" w:cs="Arial"/>
          <w:iCs/>
        </w:rPr>
        <w:t xml:space="preserve">The </w:t>
      </w:r>
      <w:r w:rsidR="009F6A16" w:rsidRPr="00687A1E">
        <w:rPr>
          <w:rFonts w:ascii="Tw Cen MT" w:hAnsi="Tw Cen MT" w:cs="Arial"/>
          <w:iCs/>
        </w:rPr>
        <w:t xml:space="preserve">contract will be effective from </w:t>
      </w:r>
      <w:r w:rsidR="00AE7DE1">
        <w:rPr>
          <w:rFonts w:ascii="Tw Cen MT" w:hAnsi="Tw Cen MT" w:cs="Arial"/>
          <w:iCs/>
        </w:rPr>
        <w:t>December</w:t>
      </w:r>
      <w:r w:rsidR="00802390">
        <w:rPr>
          <w:rFonts w:ascii="Tw Cen MT" w:hAnsi="Tw Cen MT" w:cs="Arial"/>
          <w:iCs/>
        </w:rPr>
        <w:t xml:space="preserve"> </w:t>
      </w:r>
      <w:r w:rsidR="00AE7DE1">
        <w:rPr>
          <w:rFonts w:ascii="Tw Cen MT" w:hAnsi="Tw Cen MT" w:cs="Arial"/>
          <w:iCs/>
        </w:rPr>
        <w:t xml:space="preserve">2025 </w:t>
      </w:r>
      <w:r w:rsidR="00BA1093" w:rsidRPr="00687A1E">
        <w:rPr>
          <w:rFonts w:ascii="Tw Cen MT" w:hAnsi="Tw Cen MT" w:cs="Arial"/>
          <w:iCs/>
        </w:rPr>
        <w:t xml:space="preserve">to </w:t>
      </w:r>
      <w:r w:rsidR="00AE7DE1">
        <w:rPr>
          <w:rFonts w:ascii="Tw Cen MT" w:hAnsi="Tw Cen MT" w:cs="Arial"/>
          <w:iCs/>
        </w:rPr>
        <w:t>July</w:t>
      </w:r>
      <w:r w:rsidR="00802390" w:rsidRPr="00687A1E">
        <w:rPr>
          <w:rFonts w:ascii="Tw Cen MT" w:hAnsi="Tw Cen MT" w:cs="Arial"/>
          <w:iCs/>
        </w:rPr>
        <w:t xml:space="preserve"> </w:t>
      </w:r>
      <w:r w:rsidR="00BA1093" w:rsidRPr="00687A1E">
        <w:rPr>
          <w:rFonts w:ascii="Tw Cen MT" w:hAnsi="Tw Cen MT" w:cs="Arial"/>
          <w:iCs/>
        </w:rPr>
        <w:t>202</w:t>
      </w:r>
      <w:r w:rsidR="00AE7DE1">
        <w:rPr>
          <w:rFonts w:ascii="Tw Cen MT" w:hAnsi="Tw Cen MT" w:cs="Arial"/>
          <w:iCs/>
        </w:rPr>
        <w:t>6</w:t>
      </w:r>
      <w:r w:rsidR="009F6A16" w:rsidRPr="00687A1E">
        <w:rPr>
          <w:rFonts w:ascii="Tw Cen MT" w:hAnsi="Tw Cen MT" w:cs="Arial"/>
          <w:iCs/>
        </w:rPr>
        <w:t xml:space="preserve">, with </w:t>
      </w:r>
      <w:r w:rsidR="000531B3" w:rsidRPr="00687A1E">
        <w:rPr>
          <w:rFonts w:ascii="Tw Cen MT" w:hAnsi="Tw Cen MT" w:cs="Arial"/>
          <w:iCs/>
        </w:rPr>
        <w:t>t</w:t>
      </w:r>
      <w:r w:rsidR="00687A1E" w:rsidRPr="00687A1E">
        <w:rPr>
          <w:rFonts w:ascii="Tw Cen MT" w:hAnsi="Tw Cen MT" w:cs="Arial"/>
          <w:iCs/>
        </w:rPr>
        <w:t>he following</w:t>
      </w:r>
      <w:r w:rsidR="009F6A16" w:rsidRPr="00687A1E">
        <w:rPr>
          <w:rFonts w:ascii="Tw Cen MT" w:hAnsi="Tw Cen MT" w:cs="Arial"/>
          <w:iCs/>
        </w:rPr>
        <w:t xml:space="preserve"> phases:</w:t>
      </w:r>
    </w:p>
    <w:p w14:paraId="6F263F87" w14:textId="77777777" w:rsidR="00687A1E" w:rsidRPr="00687A1E" w:rsidRDefault="00687A1E" w:rsidP="00687A1E">
      <w:pPr>
        <w:pStyle w:val="Paragraphedeliste"/>
        <w:numPr>
          <w:ilvl w:val="0"/>
          <w:numId w:val="5"/>
        </w:numPr>
        <w:rPr>
          <w:rFonts w:ascii="Tw Cen MT" w:hAnsi="Tw Cen MT"/>
          <w:b/>
          <w:sz w:val="24"/>
          <w:szCs w:val="24"/>
        </w:rPr>
      </w:pPr>
      <w:r w:rsidRPr="00687A1E">
        <w:rPr>
          <w:rFonts w:ascii="Tw Cen MT" w:hAnsi="Tw Cen MT" w:cs="Arial"/>
          <w:b/>
          <w:iCs/>
          <w:sz w:val="24"/>
          <w:szCs w:val="24"/>
        </w:rPr>
        <w:t xml:space="preserve">Inception phase: kick-off </w:t>
      </w:r>
    </w:p>
    <w:p w14:paraId="1E4C38C4" w14:textId="73431269" w:rsidR="00687A1E" w:rsidRPr="00687A1E" w:rsidRDefault="00687A1E" w:rsidP="00687A1E">
      <w:pPr>
        <w:pStyle w:val="Paragraphedeliste"/>
        <w:ind w:left="360"/>
        <w:rPr>
          <w:rFonts w:ascii="Tw Cen MT" w:hAnsi="Tw Cen MT"/>
          <w:sz w:val="24"/>
          <w:szCs w:val="24"/>
        </w:rPr>
      </w:pPr>
      <w:r w:rsidRPr="00687A1E">
        <w:rPr>
          <w:rFonts w:ascii="Tw Cen MT" w:hAnsi="Tw Cen MT" w:cs="Arial"/>
          <w:iCs/>
          <w:sz w:val="24"/>
          <w:szCs w:val="24"/>
        </w:rPr>
        <w:t>During this first and short phase, the Consultant will: Hold the kick-off meeting; Deliver the Inception Note.</w:t>
      </w:r>
    </w:p>
    <w:p w14:paraId="70BEDBF8" w14:textId="23419F87" w:rsidR="00687A1E" w:rsidRPr="00687A1E" w:rsidRDefault="00687A1E" w:rsidP="009F6A16">
      <w:pPr>
        <w:pStyle w:val="Paragraphedeliste"/>
        <w:numPr>
          <w:ilvl w:val="0"/>
          <w:numId w:val="5"/>
        </w:numPr>
        <w:rPr>
          <w:rFonts w:ascii="Tw Cen MT" w:hAnsi="Tw Cen MT" w:cs="Arial"/>
          <w:b/>
          <w:iCs/>
          <w:sz w:val="24"/>
          <w:szCs w:val="24"/>
        </w:rPr>
      </w:pPr>
      <w:r>
        <w:rPr>
          <w:rFonts w:ascii="Tw Cen MT" w:hAnsi="Tw Cen MT" w:cs="Arial"/>
          <w:b/>
          <w:iCs/>
          <w:sz w:val="24"/>
          <w:szCs w:val="24"/>
        </w:rPr>
        <w:t>Roll-out phase</w:t>
      </w:r>
    </w:p>
    <w:p w14:paraId="45FFD705" w14:textId="517781E4" w:rsidR="00A83310" w:rsidRPr="00687A1E" w:rsidRDefault="007201D0" w:rsidP="00687A1E">
      <w:pPr>
        <w:pStyle w:val="Paragraphedeliste"/>
        <w:ind w:left="360"/>
        <w:rPr>
          <w:rFonts w:ascii="Tw Cen MT" w:hAnsi="Tw Cen MT" w:cs="Arial"/>
          <w:iCs/>
          <w:sz w:val="24"/>
          <w:szCs w:val="24"/>
        </w:rPr>
      </w:pPr>
      <w:r w:rsidRPr="00687A1E">
        <w:rPr>
          <w:rFonts w:ascii="Tw Cen MT" w:hAnsi="Tw Cen MT" w:cs="Arial"/>
          <w:iCs/>
          <w:sz w:val="24"/>
          <w:szCs w:val="24"/>
        </w:rPr>
        <w:t xml:space="preserve">Component </w:t>
      </w:r>
      <w:proofErr w:type="gramStart"/>
      <w:r w:rsidRPr="00687A1E">
        <w:rPr>
          <w:rFonts w:ascii="Tw Cen MT" w:hAnsi="Tw Cen MT" w:cs="Arial"/>
          <w:iCs/>
          <w:sz w:val="24"/>
          <w:szCs w:val="24"/>
        </w:rPr>
        <w:t>1</w:t>
      </w:r>
      <w:r w:rsidR="00BA1093" w:rsidRPr="00687A1E">
        <w:rPr>
          <w:rFonts w:ascii="Tw Cen MT" w:hAnsi="Tw Cen MT" w:cs="Arial"/>
          <w:iCs/>
          <w:sz w:val="24"/>
          <w:szCs w:val="24"/>
        </w:rPr>
        <w:t xml:space="preserve"> :</w:t>
      </w:r>
      <w:proofErr w:type="gramEnd"/>
      <w:r w:rsidR="00BA1093" w:rsidRPr="00687A1E">
        <w:rPr>
          <w:rFonts w:ascii="Tw Cen MT" w:hAnsi="Tw Cen MT" w:cs="Arial"/>
          <w:iCs/>
          <w:sz w:val="24"/>
          <w:szCs w:val="24"/>
        </w:rPr>
        <w:t xml:space="preserve"> </w:t>
      </w:r>
      <w:r w:rsidR="005318A1" w:rsidRPr="00687A1E">
        <w:rPr>
          <w:rFonts w:ascii="Tw Cen MT" w:hAnsi="Tw Cen MT" w:cs="Arial"/>
          <w:iCs/>
          <w:sz w:val="24"/>
          <w:szCs w:val="24"/>
        </w:rPr>
        <w:t>2,5</w:t>
      </w:r>
      <w:r w:rsidR="00BA1093" w:rsidRPr="00687A1E">
        <w:rPr>
          <w:rFonts w:ascii="Tw Cen MT" w:hAnsi="Tw Cen MT" w:cs="Arial"/>
          <w:iCs/>
          <w:sz w:val="24"/>
          <w:szCs w:val="24"/>
        </w:rPr>
        <w:t xml:space="preserve"> month</w:t>
      </w:r>
    </w:p>
    <w:p w14:paraId="67643DB7" w14:textId="77777777" w:rsidR="00232A91" w:rsidRDefault="007201D0" w:rsidP="00232A91">
      <w:pPr>
        <w:pStyle w:val="Paragraphedeliste"/>
        <w:ind w:left="360"/>
        <w:rPr>
          <w:rFonts w:ascii="Tw Cen MT" w:hAnsi="Tw Cen MT" w:cs="Arial"/>
          <w:iCs/>
          <w:sz w:val="24"/>
          <w:szCs w:val="24"/>
        </w:rPr>
      </w:pPr>
      <w:r w:rsidRPr="00687A1E">
        <w:rPr>
          <w:rFonts w:ascii="Tw Cen MT" w:hAnsi="Tw Cen MT" w:cs="Arial"/>
          <w:iCs/>
          <w:sz w:val="24"/>
          <w:szCs w:val="24"/>
        </w:rPr>
        <w:t xml:space="preserve">Component </w:t>
      </w:r>
      <w:proofErr w:type="gramStart"/>
      <w:r w:rsidRPr="00687A1E">
        <w:rPr>
          <w:rFonts w:ascii="Tw Cen MT" w:hAnsi="Tw Cen MT" w:cs="Arial"/>
          <w:iCs/>
          <w:sz w:val="24"/>
          <w:szCs w:val="24"/>
        </w:rPr>
        <w:t>2</w:t>
      </w:r>
      <w:r w:rsidR="00BA1093" w:rsidRPr="00687A1E">
        <w:rPr>
          <w:rFonts w:ascii="Tw Cen MT" w:hAnsi="Tw Cen MT" w:cs="Arial"/>
          <w:iCs/>
          <w:sz w:val="24"/>
          <w:szCs w:val="24"/>
        </w:rPr>
        <w:t xml:space="preserve"> </w:t>
      </w:r>
      <w:r w:rsidRPr="00687A1E">
        <w:rPr>
          <w:rFonts w:ascii="Tw Cen MT" w:hAnsi="Tw Cen MT" w:cs="Arial"/>
          <w:iCs/>
          <w:sz w:val="24"/>
          <w:szCs w:val="24"/>
        </w:rPr>
        <w:t>:</w:t>
      </w:r>
      <w:proofErr w:type="gramEnd"/>
      <w:r w:rsidRPr="00687A1E">
        <w:rPr>
          <w:rFonts w:ascii="Tw Cen MT" w:hAnsi="Tw Cen MT" w:cs="Arial"/>
          <w:iCs/>
          <w:sz w:val="24"/>
          <w:szCs w:val="24"/>
        </w:rPr>
        <w:t xml:space="preserve"> </w:t>
      </w:r>
      <w:r w:rsidR="00BA1093" w:rsidRPr="00687A1E">
        <w:rPr>
          <w:rFonts w:ascii="Tw Cen MT" w:hAnsi="Tw Cen MT" w:cs="Arial"/>
          <w:iCs/>
          <w:sz w:val="24"/>
          <w:szCs w:val="24"/>
        </w:rPr>
        <w:t>1</w:t>
      </w:r>
      <w:r w:rsidR="005318A1" w:rsidRPr="00687A1E">
        <w:rPr>
          <w:rFonts w:ascii="Tw Cen MT" w:hAnsi="Tw Cen MT" w:cs="Arial"/>
          <w:iCs/>
          <w:sz w:val="24"/>
          <w:szCs w:val="24"/>
        </w:rPr>
        <w:t>,5</w:t>
      </w:r>
      <w:r w:rsidR="00BA1093" w:rsidRPr="00687A1E">
        <w:rPr>
          <w:rFonts w:ascii="Tw Cen MT" w:hAnsi="Tw Cen MT" w:cs="Arial"/>
          <w:iCs/>
          <w:sz w:val="24"/>
          <w:szCs w:val="24"/>
        </w:rPr>
        <w:t xml:space="preserve"> month</w:t>
      </w:r>
    </w:p>
    <w:p w14:paraId="3CA5FC60" w14:textId="1907419E" w:rsidR="00687A1E" w:rsidRPr="00232A91" w:rsidRDefault="00687A1E" w:rsidP="00232A91">
      <w:pPr>
        <w:pStyle w:val="Paragraphedeliste"/>
        <w:ind w:left="360"/>
        <w:rPr>
          <w:rFonts w:ascii="Tw Cen MT" w:hAnsi="Tw Cen MT" w:cs="Arial"/>
          <w:iCs/>
          <w:sz w:val="24"/>
          <w:szCs w:val="24"/>
        </w:rPr>
      </w:pPr>
      <w:r w:rsidRPr="00232A91">
        <w:rPr>
          <w:rFonts w:ascii="Tw Cen MT" w:hAnsi="Tw Cen MT" w:cs="Arial"/>
          <w:iCs/>
          <w:sz w:val="24"/>
          <w:szCs w:val="24"/>
        </w:rPr>
        <w:t>T</w:t>
      </w:r>
      <w:r w:rsidRPr="00232A91">
        <w:rPr>
          <w:rFonts w:ascii="Tw Cen MT" w:hAnsi="Tw Cen MT"/>
        </w:rPr>
        <w:t xml:space="preserve">he Consultant implement the different tasks and activities displayed in these Terms of Reference, based on the work plan validated during or shortly after the kick-off meeting. During this phase, the Consultant will carry out all the tasks and activities listed in Article 5.1 above, and deliver all the deliverables listed in Article 5.5 below. It is paramount that the implementation of </w:t>
      </w:r>
      <w:r w:rsidR="00232A91" w:rsidRPr="00232A91">
        <w:rPr>
          <w:rFonts w:ascii="Tw Cen MT" w:hAnsi="Tw Cen MT"/>
        </w:rPr>
        <w:t>Component 1</w:t>
      </w:r>
      <w:r w:rsidRPr="00232A91">
        <w:rPr>
          <w:rFonts w:ascii="Tw Cen MT" w:hAnsi="Tw Cen MT"/>
        </w:rPr>
        <w:t xml:space="preserve"> (with its subcomponent</w:t>
      </w:r>
      <w:r w:rsidR="00232A91" w:rsidRPr="00232A91">
        <w:rPr>
          <w:rFonts w:ascii="Tw Cen MT" w:hAnsi="Tw Cen MT"/>
        </w:rPr>
        <w:t xml:space="preserve"> ‘</w:t>
      </w:r>
      <w:r w:rsidR="00232A91" w:rsidRPr="00232A91">
        <w:rPr>
          <w:rFonts w:ascii="Tw Cen MT" w:hAnsi="Tw Cen MT"/>
          <w:sz w:val="24"/>
          <w:szCs w:val="24"/>
        </w:rPr>
        <w:t>Entrepreneurial Ecosystem Analysis’</w:t>
      </w:r>
      <w:r w:rsidRPr="00232A91">
        <w:rPr>
          <w:rFonts w:ascii="Tw Cen MT" w:hAnsi="Tw Cen MT"/>
        </w:rPr>
        <w:t xml:space="preserve">) </w:t>
      </w:r>
      <w:r w:rsidR="00232A91" w:rsidRPr="00232A91">
        <w:rPr>
          <w:rFonts w:ascii="Tw Cen MT" w:hAnsi="Tw Cen MT"/>
        </w:rPr>
        <w:t>and 2</w:t>
      </w:r>
      <w:r w:rsidRPr="00232A91">
        <w:rPr>
          <w:rFonts w:ascii="Tw Cen MT" w:hAnsi="Tw Cen MT"/>
        </w:rPr>
        <w:t xml:space="preserve"> feed into each other. The Consultant shall be staffed adequately so as to address </w:t>
      </w:r>
      <w:r w:rsidR="00232A91" w:rsidRPr="00232A91">
        <w:rPr>
          <w:rFonts w:ascii="Tw Cen MT" w:hAnsi="Tw Cen MT"/>
        </w:rPr>
        <w:t xml:space="preserve">multi-dimensions of </w:t>
      </w:r>
      <w:r w:rsidR="00232A91" w:rsidRPr="00232A91">
        <w:rPr>
          <w:rFonts w:ascii="Tw Cen MT" w:hAnsi="Tw Cen MT"/>
          <w:sz w:val="24"/>
          <w:szCs w:val="24"/>
        </w:rPr>
        <w:t>Georgia and Armenia’ productive systems</w:t>
      </w:r>
      <w:r w:rsidR="00232A91" w:rsidRPr="00232A91">
        <w:rPr>
          <w:rFonts w:ascii="Tw Cen MT" w:hAnsi="Tw Cen MT"/>
        </w:rPr>
        <w:t xml:space="preserve"> </w:t>
      </w:r>
      <w:r w:rsidR="00232A91" w:rsidRPr="00232A91">
        <w:rPr>
          <w:rFonts w:ascii="Tw Cen MT" w:hAnsi="Tw Cen MT"/>
          <w:sz w:val="24"/>
          <w:szCs w:val="24"/>
        </w:rPr>
        <w:t>analysis</w:t>
      </w:r>
      <w:r w:rsidRPr="00232A91">
        <w:rPr>
          <w:rFonts w:ascii="Tw Cen MT" w:hAnsi="Tw Cen MT"/>
        </w:rPr>
        <w:t xml:space="preserve">. </w:t>
      </w:r>
    </w:p>
    <w:p w14:paraId="03445FB9" w14:textId="77777777" w:rsidR="00687A1E" w:rsidRPr="00687A1E" w:rsidRDefault="00687A1E" w:rsidP="00687A1E">
      <w:pPr>
        <w:pStyle w:val="Paragraphedeliste"/>
        <w:numPr>
          <w:ilvl w:val="0"/>
          <w:numId w:val="5"/>
        </w:numPr>
        <w:rPr>
          <w:rFonts w:ascii="Tw Cen MT" w:hAnsi="Tw Cen MT" w:cs="Arial"/>
          <w:b/>
          <w:iCs/>
          <w:sz w:val="24"/>
          <w:szCs w:val="24"/>
        </w:rPr>
      </w:pPr>
      <w:r w:rsidRPr="00687A1E">
        <w:rPr>
          <w:rFonts w:ascii="Tw Cen MT" w:hAnsi="Tw Cen MT" w:cs="Arial"/>
          <w:b/>
          <w:iCs/>
          <w:sz w:val="24"/>
          <w:szCs w:val="24"/>
        </w:rPr>
        <w:t>Conclusion phase</w:t>
      </w:r>
    </w:p>
    <w:p w14:paraId="7EEEEFA6" w14:textId="50FECC08" w:rsidR="00BB118B" w:rsidRDefault="00687A1E" w:rsidP="00687A1E">
      <w:pPr>
        <w:pStyle w:val="Paragraphedeliste"/>
        <w:ind w:left="360"/>
        <w:rPr>
          <w:rFonts w:ascii="Tw Cen MT" w:hAnsi="Tw Cen MT"/>
          <w:sz w:val="24"/>
          <w:szCs w:val="24"/>
        </w:rPr>
      </w:pPr>
      <w:r w:rsidRPr="00687A1E">
        <w:rPr>
          <w:rFonts w:ascii="Tw Cen MT" w:hAnsi="Tw Cen MT"/>
          <w:sz w:val="24"/>
          <w:szCs w:val="24"/>
        </w:rPr>
        <w:t>At the end of the assignment, the Consultant shall organise a final restitution workshop/meeting where they will present the main takeaways of the mission, and the conclusion of the final deliverable.</w:t>
      </w:r>
    </w:p>
    <w:p w14:paraId="59E63EEC" w14:textId="77777777" w:rsidR="00232A91" w:rsidRPr="00687A1E" w:rsidRDefault="00232A91" w:rsidP="00687A1E">
      <w:pPr>
        <w:pStyle w:val="Paragraphedeliste"/>
        <w:ind w:left="360"/>
        <w:rPr>
          <w:rFonts w:ascii="Tw Cen MT" w:hAnsi="Tw Cen MT" w:cs="Arial"/>
          <w:b/>
          <w:iCs/>
          <w:sz w:val="24"/>
          <w:szCs w:val="24"/>
        </w:rPr>
      </w:pPr>
    </w:p>
    <w:p w14:paraId="2F6C9CCE" w14:textId="77777777" w:rsidR="00BB118B" w:rsidRPr="00F20141" w:rsidRDefault="00BB118B" w:rsidP="00B8096A">
      <w:pPr>
        <w:pStyle w:val="Titre2"/>
        <w:spacing w:before="0"/>
        <w:jc w:val="both"/>
        <w:rPr>
          <w:rFonts w:ascii="Tw Cen MT" w:hAnsi="Tw Cen MT"/>
        </w:rPr>
      </w:pPr>
      <w:bookmarkStart w:id="27" w:name="_Toc322967819"/>
      <w:bookmarkStart w:id="28" w:name="_Toc82590884"/>
      <w:bookmarkStart w:id="29" w:name="_Toc195120129"/>
      <w:r w:rsidRPr="00F20141">
        <w:rPr>
          <w:rFonts w:ascii="Tw Cen MT" w:hAnsi="Tw Cen MT"/>
        </w:rPr>
        <w:t>Expected deliverables</w:t>
      </w:r>
      <w:bookmarkEnd w:id="27"/>
      <w:bookmarkEnd w:id="28"/>
      <w:bookmarkEnd w:id="29"/>
    </w:p>
    <w:p w14:paraId="74C85B15" w14:textId="77777777" w:rsidR="00BB118B" w:rsidRPr="00F20141" w:rsidRDefault="00BB118B" w:rsidP="00B8096A">
      <w:pPr>
        <w:jc w:val="both"/>
        <w:rPr>
          <w:rFonts w:ascii="Tw Cen MT" w:hAnsi="Tw Cen MT"/>
          <w:highlight w:val="yellow"/>
        </w:rPr>
      </w:pPr>
    </w:p>
    <w:p w14:paraId="20C7CE19" w14:textId="77777777" w:rsidR="00157697" w:rsidRDefault="00157697" w:rsidP="00157697">
      <w:pPr>
        <w:jc w:val="both"/>
        <w:rPr>
          <w:rFonts w:ascii="Tw Cen MT" w:hAnsi="Tw Cen MT"/>
        </w:rPr>
      </w:pPr>
      <w:r>
        <w:rPr>
          <w:rFonts w:ascii="Tw Cen MT" w:hAnsi="Tw Cen MT"/>
        </w:rPr>
        <w:t>The deliverables expected for this mission are listed below.</w:t>
      </w:r>
    </w:p>
    <w:p w14:paraId="7DFF4920" w14:textId="77777777" w:rsidR="00157697" w:rsidRDefault="00157697" w:rsidP="007236C0">
      <w:pPr>
        <w:jc w:val="both"/>
        <w:rPr>
          <w:rFonts w:ascii="Tw Cen MT" w:hAnsi="Tw Cen MT"/>
        </w:rPr>
      </w:pPr>
    </w:p>
    <w:p w14:paraId="18A5D7FF" w14:textId="7B2D9BD3" w:rsidR="00157697" w:rsidRDefault="00157697" w:rsidP="00157697">
      <w:pPr>
        <w:jc w:val="both"/>
        <w:rPr>
          <w:rFonts w:ascii="Tw Cen MT" w:hAnsi="Tw Cen MT"/>
          <w:u w:val="single"/>
        </w:rPr>
      </w:pPr>
      <w:r>
        <w:rPr>
          <w:rFonts w:ascii="Tw Cen MT" w:hAnsi="Tw Cen MT"/>
          <w:u w:val="single"/>
        </w:rPr>
        <w:t>For the Components 1. and 2</w:t>
      </w:r>
      <w:proofErr w:type="gramStart"/>
      <w:r>
        <w:rPr>
          <w:rFonts w:ascii="Tw Cen MT" w:hAnsi="Tw Cen MT"/>
          <w:u w:val="single"/>
        </w:rPr>
        <w:t>. :</w:t>
      </w:r>
      <w:proofErr w:type="gramEnd"/>
    </w:p>
    <w:p w14:paraId="542C872F" w14:textId="77777777" w:rsidR="00157697" w:rsidRPr="00157697" w:rsidRDefault="00157697" w:rsidP="007236C0">
      <w:pPr>
        <w:pStyle w:val="Paragraphedeliste"/>
        <w:numPr>
          <w:ilvl w:val="0"/>
          <w:numId w:val="12"/>
        </w:numPr>
        <w:rPr>
          <w:rFonts w:ascii="Tw Cen MT" w:hAnsi="Tw Cen MT"/>
          <w:b/>
          <w:sz w:val="24"/>
          <w:szCs w:val="24"/>
        </w:rPr>
      </w:pPr>
      <w:r w:rsidRPr="00157697">
        <w:rPr>
          <w:rFonts w:ascii="Tw Cen MT" w:hAnsi="Tw Cen MT"/>
          <w:b/>
          <w:sz w:val="24"/>
          <w:szCs w:val="24"/>
        </w:rPr>
        <w:t xml:space="preserve">Inception Note </w:t>
      </w:r>
    </w:p>
    <w:p w14:paraId="562C2996" w14:textId="7C854952" w:rsidR="00157697" w:rsidRDefault="00157697" w:rsidP="00157697">
      <w:pPr>
        <w:pStyle w:val="Paragraphedeliste"/>
        <w:rPr>
          <w:rFonts w:ascii="Tw Cen MT" w:hAnsi="Tw Cen MT"/>
          <w:sz w:val="24"/>
          <w:szCs w:val="24"/>
        </w:rPr>
      </w:pPr>
      <w:r>
        <w:rPr>
          <w:rFonts w:ascii="Tw Cen MT" w:hAnsi="Tw Cen MT"/>
          <w:sz w:val="24"/>
          <w:szCs w:val="24"/>
        </w:rPr>
        <w:lastRenderedPageBreak/>
        <w:t>This deliverable should be a short report containing</w:t>
      </w:r>
      <w:r w:rsidR="00725D9D" w:rsidRPr="00725D9D">
        <w:rPr>
          <w:rFonts w:ascii="Tw Cen MT" w:hAnsi="Tw Cen MT"/>
          <w:sz w:val="24"/>
          <w:szCs w:val="24"/>
        </w:rPr>
        <w:t xml:space="preserve">, but not be limited to, the </w:t>
      </w:r>
      <w:proofErr w:type="gramStart"/>
      <w:r w:rsidR="00725D9D" w:rsidRPr="00725D9D">
        <w:rPr>
          <w:rFonts w:ascii="Tw Cen MT" w:hAnsi="Tw Cen MT"/>
          <w:sz w:val="24"/>
          <w:szCs w:val="24"/>
        </w:rPr>
        <w:t>following</w:t>
      </w:r>
      <w:r w:rsidR="00725D9D">
        <w:rPr>
          <w:rFonts w:ascii="Tw Cen MT" w:hAnsi="Tw Cen MT"/>
          <w:sz w:val="24"/>
          <w:szCs w:val="24"/>
        </w:rPr>
        <w:t>:</w:t>
      </w:r>
      <w:r>
        <w:rPr>
          <w:rFonts w:ascii="Tw Cen MT" w:hAnsi="Tw Cen MT"/>
          <w:sz w:val="24"/>
          <w:szCs w:val="24"/>
        </w:rPr>
        <w:t>:</w:t>
      </w:r>
      <w:proofErr w:type="gramEnd"/>
      <w:r>
        <w:rPr>
          <w:rFonts w:ascii="Tw Cen MT" w:hAnsi="Tw Cen MT"/>
          <w:sz w:val="24"/>
          <w:szCs w:val="24"/>
        </w:rPr>
        <w:t xml:space="preserve"> </w:t>
      </w:r>
    </w:p>
    <w:p w14:paraId="774446AA" w14:textId="77777777" w:rsidR="00157697" w:rsidRDefault="00157697" w:rsidP="00157697">
      <w:pPr>
        <w:pStyle w:val="Paragraphedeliste"/>
        <w:numPr>
          <w:ilvl w:val="0"/>
          <w:numId w:val="42"/>
        </w:numPr>
        <w:rPr>
          <w:rFonts w:ascii="Tw Cen MT" w:hAnsi="Tw Cen MT"/>
          <w:sz w:val="24"/>
          <w:szCs w:val="24"/>
        </w:rPr>
      </w:pPr>
      <w:r>
        <w:rPr>
          <w:rFonts w:ascii="Tw Cen MT" w:hAnsi="Tw Cen MT"/>
          <w:sz w:val="24"/>
          <w:szCs w:val="24"/>
        </w:rPr>
        <w:t>the conclusions of the kick-off meeting</w:t>
      </w:r>
    </w:p>
    <w:p w14:paraId="1157EC89" w14:textId="77777777" w:rsidR="00157697" w:rsidRDefault="00157697" w:rsidP="00157697">
      <w:pPr>
        <w:pStyle w:val="Paragraphedeliste"/>
        <w:numPr>
          <w:ilvl w:val="0"/>
          <w:numId w:val="42"/>
        </w:numPr>
        <w:rPr>
          <w:rFonts w:ascii="Tw Cen MT" w:hAnsi="Tw Cen MT"/>
          <w:sz w:val="24"/>
          <w:szCs w:val="24"/>
        </w:rPr>
      </w:pPr>
      <w:r w:rsidRPr="00721272">
        <w:rPr>
          <w:rFonts w:ascii="Tw Cen MT" w:hAnsi="Tw Cen MT"/>
          <w:sz w:val="24"/>
          <w:szCs w:val="24"/>
        </w:rPr>
        <w:t>a preliminary analysis of the available documentation</w:t>
      </w:r>
    </w:p>
    <w:p w14:paraId="7519F226" w14:textId="77777777" w:rsidR="00157697" w:rsidRDefault="00157697" w:rsidP="00157697">
      <w:pPr>
        <w:pStyle w:val="Paragraphedeliste"/>
        <w:numPr>
          <w:ilvl w:val="0"/>
          <w:numId w:val="42"/>
        </w:numPr>
        <w:rPr>
          <w:rFonts w:ascii="Tw Cen MT" w:hAnsi="Tw Cen MT"/>
          <w:sz w:val="24"/>
          <w:szCs w:val="24"/>
        </w:rPr>
      </w:pPr>
      <w:r w:rsidRPr="00721272">
        <w:rPr>
          <w:rFonts w:ascii="Tw Cen MT" w:hAnsi="Tw Cen MT"/>
          <w:sz w:val="24"/>
          <w:szCs w:val="24"/>
        </w:rPr>
        <w:t>the prerequisites and key success factors for the mission</w:t>
      </w:r>
    </w:p>
    <w:p w14:paraId="7F6B8659" w14:textId="77777777" w:rsidR="00157697" w:rsidRDefault="00157697" w:rsidP="00157697">
      <w:pPr>
        <w:pStyle w:val="Paragraphedeliste"/>
        <w:numPr>
          <w:ilvl w:val="0"/>
          <w:numId w:val="42"/>
        </w:numPr>
        <w:rPr>
          <w:rFonts w:ascii="Tw Cen MT" w:hAnsi="Tw Cen MT"/>
          <w:sz w:val="24"/>
          <w:szCs w:val="24"/>
        </w:rPr>
      </w:pPr>
      <w:r>
        <w:rPr>
          <w:rFonts w:ascii="Tw Cen MT" w:hAnsi="Tw Cen MT"/>
          <w:sz w:val="24"/>
          <w:szCs w:val="24"/>
        </w:rPr>
        <w:t xml:space="preserve">a summary of </w:t>
      </w:r>
      <w:r w:rsidRPr="00721272">
        <w:rPr>
          <w:rFonts w:ascii="Tw Cen MT" w:hAnsi="Tw Cen MT"/>
          <w:sz w:val="24"/>
          <w:szCs w:val="24"/>
        </w:rPr>
        <w:t xml:space="preserve">the methodology </w:t>
      </w:r>
      <w:r>
        <w:rPr>
          <w:rFonts w:ascii="Tw Cen MT" w:hAnsi="Tw Cen MT"/>
          <w:sz w:val="24"/>
          <w:szCs w:val="24"/>
        </w:rPr>
        <w:t>if any update from the technical proposition are arising</w:t>
      </w:r>
      <w:r w:rsidRPr="00721272">
        <w:rPr>
          <w:rFonts w:ascii="Tw Cen MT" w:hAnsi="Tw Cen MT"/>
          <w:sz w:val="24"/>
          <w:szCs w:val="24"/>
        </w:rPr>
        <w:t xml:space="preserve"> (including the documentation to be s</w:t>
      </w:r>
      <w:r>
        <w:rPr>
          <w:rFonts w:ascii="Tw Cen MT" w:hAnsi="Tw Cen MT"/>
          <w:sz w:val="24"/>
          <w:szCs w:val="24"/>
        </w:rPr>
        <w:t>tudied, data collection tools,</w:t>
      </w:r>
      <w:r w:rsidRPr="00721272">
        <w:rPr>
          <w:rFonts w:ascii="Tw Cen MT" w:hAnsi="Tw Cen MT"/>
          <w:sz w:val="24"/>
          <w:szCs w:val="24"/>
        </w:rPr>
        <w:t xml:space="preserve"> relevant stakeholders</w:t>
      </w:r>
      <w:r>
        <w:rPr>
          <w:rFonts w:ascii="Tw Cen MT" w:hAnsi="Tw Cen MT"/>
          <w:sz w:val="24"/>
          <w:szCs w:val="24"/>
        </w:rPr>
        <w:t xml:space="preserve"> to be consulted</w:t>
      </w:r>
      <w:r w:rsidRPr="00721272">
        <w:rPr>
          <w:rFonts w:ascii="Tw Cen MT" w:hAnsi="Tw Cen MT"/>
          <w:sz w:val="24"/>
          <w:szCs w:val="24"/>
        </w:rPr>
        <w:t>)</w:t>
      </w:r>
    </w:p>
    <w:p w14:paraId="5B0E0FEC" w14:textId="3DF20700" w:rsidR="00157697" w:rsidRDefault="00157697" w:rsidP="00157697">
      <w:pPr>
        <w:pStyle w:val="Paragraphedeliste"/>
        <w:numPr>
          <w:ilvl w:val="0"/>
          <w:numId w:val="42"/>
        </w:numPr>
        <w:rPr>
          <w:rFonts w:ascii="Tw Cen MT" w:hAnsi="Tw Cen MT"/>
          <w:sz w:val="24"/>
          <w:szCs w:val="24"/>
        </w:rPr>
      </w:pPr>
      <w:r>
        <w:rPr>
          <w:rFonts w:ascii="Tw Cen MT" w:hAnsi="Tw Cen MT"/>
          <w:sz w:val="24"/>
          <w:szCs w:val="24"/>
        </w:rPr>
        <w:t>a clear roadmap for the implementation of the study (adjusted resources, timeline</w:t>
      </w:r>
      <w:r w:rsidRPr="00F20141">
        <w:rPr>
          <w:rFonts w:ascii="Tw Cen MT" w:hAnsi="Tw Cen MT"/>
          <w:sz w:val="24"/>
          <w:szCs w:val="24"/>
        </w:rPr>
        <w:t>, including dates of field mission</w:t>
      </w:r>
      <w:r>
        <w:rPr>
          <w:rFonts w:ascii="Tw Cen MT" w:hAnsi="Tw Cen MT"/>
          <w:sz w:val="24"/>
          <w:szCs w:val="24"/>
        </w:rPr>
        <w:t>(</w:t>
      </w:r>
      <w:r w:rsidRPr="00F20141">
        <w:rPr>
          <w:rFonts w:ascii="Tw Cen MT" w:hAnsi="Tw Cen MT"/>
          <w:sz w:val="24"/>
          <w:szCs w:val="24"/>
        </w:rPr>
        <w:t>s</w:t>
      </w:r>
      <w:r>
        <w:rPr>
          <w:rFonts w:ascii="Tw Cen MT" w:hAnsi="Tw Cen MT"/>
          <w:sz w:val="24"/>
          <w:szCs w:val="24"/>
        </w:rPr>
        <w:t xml:space="preserve">) etc.) </w:t>
      </w:r>
    </w:p>
    <w:p w14:paraId="6D3DE598" w14:textId="77777777" w:rsidR="00157697" w:rsidRDefault="00157697" w:rsidP="00157697">
      <w:pPr>
        <w:rPr>
          <w:rFonts w:ascii="Tw Cen MT" w:hAnsi="Tw Cen MT"/>
          <w:u w:val="single"/>
        </w:rPr>
      </w:pPr>
    </w:p>
    <w:p w14:paraId="730C72A4" w14:textId="6FD8DA5C" w:rsidR="00157697" w:rsidRDefault="00157697" w:rsidP="00157697">
      <w:pPr>
        <w:rPr>
          <w:rFonts w:ascii="Tw Cen MT" w:hAnsi="Tw Cen MT"/>
          <w:u w:val="single"/>
        </w:rPr>
      </w:pPr>
      <w:r w:rsidRPr="00157697">
        <w:rPr>
          <w:rFonts w:ascii="Tw Cen MT" w:hAnsi="Tw Cen MT"/>
          <w:u w:val="single"/>
        </w:rPr>
        <w:t xml:space="preserve">For the </w:t>
      </w:r>
      <w:r>
        <w:rPr>
          <w:rFonts w:ascii="Tw Cen MT" w:hAnsi="Tw Cen MT"/>
          <w:u w:val="single"/>
        </w:rPr>
        <w:t>Component</w:t>
      </w:r>
      <w:r w:rsidRPr="00157697">
        <w:rPr>
          <w:rFonts w:ascii="Tw Cen MT" w:hAnsi="Tw Cen MT"/>
          <w:u w:val="single"/>
        </w:rPr>
        <w:t xml:space="preserve"> 1.</w:t>
      </w:r>
      <w:r>
        <w:rPr>
          <w:rFonts w:ascii="Tw Cen MT" w:hAnsi="Tw Cen MT"/>
          <w:u w:val="single"/>
        </w:rPr>
        <w:t xml:space="preserve"> </w:t>
      </w:r>
      <w:r w:rsidRPr="00157697">
        <w:rPr>
          <w:rFonts w:ascii="Tw Cen MT" w:hAnsi="Tw Cen MT"/>
          <w:u w:val="single"/>
        </w:rPr>
        <w:t>:</w:t>
      </w:r>
    </w:p>
    <w:p w14:paraId="4337D9E8" w14:textId="6EA63478" w:rsidR="00157697" w:rsidRDefault="00157697" w:rsidP="00157697">
      <w:pPr>
        <w:rPr>
          <w:rFonts w:ascii="Tw Cen MT" w:hAnsi="Tw Cen MT"/>
          <w:u w:val="single"/>
        </w:rPr>
      </w:pPr>
    </w:p>
    <w:p w14:paraId="256C8EFC" w14:textId="77777777" w:rsidR="000615F7" w:rsidRPr="000615F7" w:rsidRDefault="000615F7" w:rsidP="000615F7">
      <w:pPr>
        <w:pStyle w:val="Paragraphedeliste"/>
        <w:numPr>
          <w:ilvl w:val="0"/>
          <w:numId w:val="12"/>
        </w:numPr>
        <w:rPr>
          <w:rFonts w:ascii="Tw Cen MT" w:hAnsi="Tw Cen MT"/>
          <w:b/>
          <w:sz w:val="24"/>
          <w:szCs w:val="24"/>
        </w:rPr>
      </w:pPr>
      <w:r w:rsidRPr="000615F7">
        <w:rPr>
          <w:rFonts w:ascii="Tw Cen MT" w:hAnsi="Tw Cen MT"/>
          <w:b/>
          <w:sz w:val="24"/>
          <w:szCs w:val="24"/>
        </w:rPr>
        <w:t xml:space="preserve">Productive System Diagnostic Report </w:t>
      </w:r>
    </w:p>
    <w:p w14:paraId="50B61DCE" w14:textId="1E891A6C" w:rsidR="000615F7" w:rsidRDefault="000615F7" w:rsidP="000615F7">
      <w:pPr>
        <w:pStyle w:val="Paragraphedeliste"/>
        <w:rPr>
          <w:rFonts w:ascii="Tw Cen MT" w:hAnsi="Tw Cen MT"/>
          <w:sz w:val="24"/>
          <w:szCs w:val="24"/>
        </w:rPr>
      </w:pPr>
      <w:r>
        <w:rPr>
          <w:rFonts w:ascii="Tw Cen MT" w:hAnsi="Tw Cen MT"/>
          <w:sz w:val="24"/>
          <w:szCs w:val="24"/>
        </w:rPr>
        <w:t>This deliverable should be a</w:t>
      </w:r>
      <w:r w:rsidRPr="00F20141">
        <w:rPr>
          <w:rFonts w:ascii="Tw Cen MT" w:hAnsi="Tw Cen MT"/>
          <w:sz w:val="24"/>
          <w:szCs w:val="24"/>
        </w:rPr>
        <w:t xml:space="preserve"> </w:t>
      </w:r>
      <w:r w:rsidRPr="00130672">
        <w:rPr>
          <w:rFonts w:ascii="Tw Cen MT" w:hAnsi="Tw Cen MT"/>
          <w:b/>
          <w:sz w:val="24"/>
          <w:szCs w:val="24"/>
        </w:rPr>
        <w:t>synthetic and operational</w:t>
      </w:r>
      <w:r>
        <w:rPr>
          <w:rFonts w:ascii="Tw Cen MT" w:hAnsi="Tw Cen MT"/>
          <w:sz w:val="24"/>
          <w:szCs w:val="24"/>
        </w:rPr>
        <w:t xml:space="preserve"> diagnostic report</w:t>
      </w:r>
      <w:r w:rsidR="00726582">
        <w:rPr>
          <w:rFonts w:ascii="Tw Cen MT" w:hAnsi="Tw Cen MT"/>
          <w:sz w:val="24"/>
          <w:szCs w:val="24"/>
        </w:rPr>
        <w:t>,</w:t>
      </w:r>
      <w:r>
        <w:rPr>
          <w:rFonts w:ascii="Tw Cen MT" w:hAnsi="Tw Cen MT"/>
          <w:sz w:val="24"/>
          <w:szCs w:val="24"/>
        </w:rPr>
        <w:t xml:space="preserve"> gathering all the analysis and findings and information discussed in the component 1.</w:t>
      </w:r>
    </w:p>
    <w:p w14:paraId="5AC1A55A" w14:textId="77777777" w:rsidR="000615F7" w:rsidRDefault="000615F7" w:rsidP="00157697">
      <w:pPr>
        <w:jc w:val="both"/>
        <w:rPr>
          <w:rFonts w:ascii="Tw Cen MT" w:hAnsi="Tw Cen MT"/>
          <w:u w:val="single"/>
        </w:rPr>
      </w:pPr>
    </w:p>
    <w:p w14:paraId="0084D961" w14:textId="5068ACFF" w:rsidR="00157697" w:rsidRDefault="00157697" w:rsidP="00157697">
      <w:pPr>
        <w:jc w:val="both"/>
        <w:rPr>
          <w:rFonts w:ascii="Tw Cen MT" w:hAnsi="Tw Cen MT"/>
          <w:u w:val="single"/>
        </w:rPr>
      </w:pPr>
      <w:r>
        <w:rPr>
          <w:rFonts w:ascii="Tw Cen MT" w:hAnsi="Tw Cen MT"/>
          <w:u w:val="single"/>
        </w:rPr>
        <w:t>For the Component 2. :</w:t>
      </w:r>
    </w:p>
    <w:p w14:paraId="0A4895AE" w14:textId="0B2D9EF6" w:rsidR="00157697" w:rsidRPr="000615F7" w:rsidRDefault="00157697" w:rsidP="000615F7">
      <w:pPr>
        <w:rPr>
          <w:rFonts w:ascii="Tw Cen MT" w:hAnsi="Tw Cen MT"/>
        </w:rPr>
      </w:pPr>
    </w:p>
    <w:p w14:paraId="1DA2DCD3" w14:textId="77777777" w:rsidR="00157697" w:rsidRPr="00EA1E72" w:rsidRDefault="00157697" w:rsidP="00157697">
      <w:pPr>
        <w:pStyle w:val="Paragraphedeliste"/>
        <w:numPr>
          <w:ilvl w:val="0"/>
          <w:numId w:val="23"/>
        </w:numPr>
        <w:rPr>
          <w:rFonts w:ascii="Tw Cen MT" w:hAnsi="Tw Cen MT"/>
          <w:b/>
          <w:sz w:val="24"/>
          <w:szCs w:val="24"/>
        </w:rPr>
      </w:pPr>
      <w:r>
        <w:rPr>
          <w:rFonts w:ascii="Tw Cen MT" w:hAnsi="Tw Cen MT"/>
          <w:b/>
          <w:sz w:val="24"/>
          <w:szCs w:val="24"/>
        </w:rPr>
        <w:t>Strategic Recommendations Report</w:t>
      </w:r>
    </w:p>
    <w:p w14:paraId="0BFE4F5D" w14:textId="6F42F0FD" w:rsidR="00157697" w:rsidRDefault="00157697" w:rsidP="00157697">
      <w:pPr>
        <w:pStyle w:val="Paragraphedeliste"/>
        <w:rPr>
          <w:rFonts w:ascii="Tw Cen MT" w:hAnsi="Tw Cen MT"/>
          <w:sz w:val="24"/>
          <w:szCs w:val="24"/>
        </w:rPr>
      </w:pPr>
      <w:r>
        <w:rPr>
          <w:rFonts w:ascii="Tw Cen MT" w:hAnsi="Tw Cen MT"/>
          <w:sz w:val="24"/>
          <w:szCs w:val="24"/>
        </w:rPr>
        <w:t>This deliverable should</w:t>
      </w:r>
      <w:r w:rsidR="00726582">
        <w:rPr>
          <w:rFonts w:ascii="Tw Cen MT" w:hAnsi="Tw Cen MT"/>
          <w:sz w:val="24"/>
          <w:szCs w:val="24"/>
        </w:rPr>
        <w:t xml:space="preserve"> be </w:t>
      </w:r>
      <w:r w:rsidR="00726582" w:rsidRPr="00130672">
        <w:rPr>
          <w:rFonts w:ascii="Tw Cen MT" w:hAnsi="Tw Cen MT"/>
          <w:b/>
          <w:sz w:val="24"/>
          <w:szCs w:val="24"/>
        </w:rPr>
        <w:t>synthetic and operationa</w:t>
      </w:r>
      <w:r w:rsidR="00726582">
        <w:rPr>
          <w:rFonts w:ascii="Tw Cen MT" w:hAnsi="Tw Cen MT"/>
          <w:b/>
          <w:sz w:val="24"/>
          <w:szCs w:val="24"/>
        </w:rPr>
        <w:t>l</w:t>
      </w:r>
      <w:r>
        <w:rPr>
          <w:rFonts w:ascii="Tw Cen MT" w:hAnsi="Tw Cen MT"/>
          <w:sz w:val="24"/>
          <w:szCs w:val="24"/>
        </w:rPr>
        <w:t xml:space="preserve"> contain</w:t>
      </w:r>
      <w:r w:rsidR="00726582">
        <w:rPr>
          <w:rFonts w:ascii="Tw Cen MT" w:hAnsi="Tw Cen MT"/>
          <w:sz w:val="24"/>
          <w:szCs w:val="24"/>
        </w:rPr>
        <w:t>ing</w:t>
      </w:r>
      <w:r w:rsidR="00725D9D" w:rsidRPr="00725D9D">
        <w:rPr>
          <w:rFonts w:ascii="Tw Cen MT" w:hAnsi="Tw Cen MT"/>
          <w:sz w:val="24"/>
          <w:szCs w:val="24"/>
        </w:rPr>
        <w:t>, but not be limited to, the following</w:t>
      </w:r>
      <w:r>
        <w:rPr>
          <w:rFonts w:ascii="Tw Cen MT" w:hAnsi="Tw Cen MT"/>
          <w:sz w:val="24"/>
          <w:szCs w:val="24"/>
        </w:rPr>
        <w:t>:</w:t>
      </w:r>
    </w:p>
    <w:p w14:paraId="36376BEB" w14:textId="01CB408B" w:rsidR="00157697" w:rsidRPr="000615F7" w:rsidRDefault="00157697" w:rsidP="000615F7">
      <w:pPr>
        <w:pStyle w:val="Paragraphedeliste"/>
        <w:numPr>
          <w:ilvl w:val="0"/>
          <w:numId w:val="43"/>
        </w:numPr>
        <w:rPr>
          <w:rFonts w:ascii="Tw Cen MT" w:hAnsi="Tw Cen MT"/>
          <w:sz w:val="24"/>
          <w:szCs w:val="24"/>
        </w:rPr>
      </w:pPr>
      <w:r>
        <w:rPr>
          <w:rFonts w:ascii="Tw Cen MT" w:hAnsi="Tw Cen MT"/>
          <w:sz w:val="24"/>
          <w:szCs w:val="24"/>
        </w:rPr>
        <w:t xml:space="preserve">An assessment of the </w:t>
      </w:r>
      <w:r w:rsidR="000615F7">
        <w:rPr>
          <w:rFonts w:ascii="Tw Cen MT" w:hAnsi="Tw Cen MT"/>
        </w:rPr>
        <w:t>key strengths and</w:t>
      </w:r>
      <w:r w:rsidR="000615F7" w:rsidRPr="000615F7">
        <w:rPr>
          <w:rFonts w:ascii="Tw Cen MT" w:hAnsi="Tw Cen MT"/>
        </w:rPr>
        <w:t xml:space="preserve"> </w:t>
      </w:r>
      <w:r w:rsidRPr="000615F7">
        <w:rPr>
          <w:rFonts w:ascii="Tw Cen MT" w:hAnsi="Tw Cen MT"/>
          <w:sz w:val="24"/>
          <w:szCs w:val="24"/>
        </w:rPr>
        <w:t xml:space="preserve">main challenges faced by </w:t>
      </w:r>
      <w:r w:rsidR="000615F7" w:rsidRPr="000615F7">
        <w:rPr>
          <w:rFonts w:ascii="Tw Cen MT" w:hAnsi="Tw Cen MT"/>
          <w:sz w:val="24"/>
          <w:szCs w:val="24"/>
        </w:rPr>
        <w:t xml:space="preserve">Georgian and Armenian </w:t>
      </w:r>
      <w:r w:rsidR="000615F7">
        <w:rPr>
          <w:rFonts w:ascii="Tw Cen MT" w:hAnsi="Tw Cen MT"/>
          <w:sz w:val="24"/>
          <w:szCs w:val="24"/>
        </w:rPr>
        <w:t>SOEs</w:t>
      </w:r>
      <w:r w:rsidRPr="000615F7">
        <w:rPr>
          <w:rFonts w:ascii="Tw Cen MT" w:hAnsi="Tw Cen MT"/>
          <w:sz w:val="24"/>
          <w:szCs w:val="24"/>
        </w:rPr>
        <w:t xml:space="preserve"> </w:t>
      </w:r>
      <w:r w:rsidR="00726582" w:rsidRPr="00726582">
        <w:rPr>
          <w:rFonts w:ascii="Tw Cen MT" w:hAnsi="Tw Cen MT"/>
          <w:sz w:val="24"/>
          <w:szCs w:val="24"/>
        </w:rPr>
        <w:t>and the entrepreneur</w:t>
      </w:r>
      <w:r w:rsidR="00FC4BE9">
        <w:rPr>
          <w:rFonts w:ascii="Tw Cen MT" w:hAnsi="Tw Cen MT"/>
          <w:sz w:val="24"/>
          <w:szCs w:val="24"/>
        </w:rPr>
        <w:t>ial</w:t>
      </w:r>
      <w:r w:rsidR="00726582" w:rsidRPr="00726582">
        <w:rPr>
          <w:rFonts w:ascii="Tw Cen MT" w:hAnsi="Tw Cen MT"/>
          <w:sz w:val="24"/>
          <w:szCs w:val="24"/>
        </w:rPr>
        <w:t xml:space="preserve"> ecosystem</w:t>
      </w:r>
      <w:r w:rsidR="00726582">
        <w:rPr>
          <w:rFonts w:ascii="Tw Cen MT" w:hAnsi="Tw Cen MT"/>
          <w:sz w:val="24"/>
          <w:szCs w:val="24"/>
        </w:rPr>
        <w:t xml:space="preserve"> </w:t>
      </w:r>
      <w:r w:rsidRPr="000615F7">
        <w:rPr>
          <w:rFonts w:ascii="Tw Cen MT" w:hAnsi="Tw Cen MT"/>
          <w:sz w:val="24"/>
          <w:szCs w:val="24"/>
        </w:rPr>
        <w:t>and of the priority areas of support and cooperation</w:t>
      </w:r>
    </w:p>
    <w:p w14:paraId="0733D4A4" w14:textId="7F75B611" w:rsidR="00157697" w:rsidRDefault="00157697" w:rsidP="00157697">
      <w:pPr>
        <w:pStyle w:val="Paragraphedeliste"/>
        <w:numPr>
          <w:ilvl w:val="0"/>
          <w:numId w:val="43"/>
        </w:numPr>
        <w:rPr>
          <w:rFonts w:ascii="Tw Cen MT" w:hAnsi="Tw Cen MT"/>
          <w:sz w:val="24"/>
          <w:szCs w:val="24"/>
        </w:rPr>
      </w:pPr>
      <w:r>
        <w:rPr>
          <w:rFonts w:ascii="Tw Cen MT" w:hAnsi="Tw Cen MT"/>
          <w:sz w:val="24"/>
          <w:szCs w:val="24"/>
        </w:rPr>
        <w:t>A mapping of government and donors’ interventions in the sector</w:t>
      </w:r>
    </w:p>
    <w:p w14:paraId="0C7E27EB" w14:textId="43113C0F" w:rsidR="000615F7" w:rsidRPr="00725D9D" w:rsidRDefault="00157697" w:rsidP="00725D9D">
      <w:pPr>
        <w:pStyle w:val="Paragraphedeliste"/>
        <w:numPr>
          <w:ilvl w:val="0"/>
          <w:numId w:val="43"/>
        </w:numPr>
        <w:rPr>
          <w:rFonts w:ascii="Tw Cen MT" w:hAnsi="Tw Cen MT"/>
          <w:sz w:val="24"/>
          <w:szCs w:val="24"/>
        </w:rPr>
      </w:pPr>
      <w:r>
        <w:rPr>
          <w:rFonts w:ascii="Tw Cen MT" w:hAnsi="Tw Cen MT"/>
          <w:sz w:val="24"/>
          <w:szCs w:val="24"/>
        </w:rPr>
        <w:t>An analysis of prospects for AFD among Public Financial Institutions</w:t>
      </w:r>
      <w:r w:rsidR="00725D9D">
        <w:rPr>
          <w:rFonts w:ascii="Tw Cen MT" w:hAnsi="Tw Cen MT"/>
          <w:sz w:val="24"/>
          <w:szCs w:val="24"/>
        </w:rPr>
        <w:t xml:space="preserve"> </w:t>
      </w:r>
      <w:r w:rsidR="000615F7" w:rsidRPr="00725D9D">
        <w:rPr>
          <w:rFonts w:ascii="Tw Cen MT" w:hAnsi="Tw Cen MT"/>
        </w:rPr>
        <w:t xml:space="preserve">to support </w:t>
      </w:r>
      <w:r w:rsidR="00725D9D">
        <w:rPr>
          <w:rFonts w:ascii="Tw Cen MT" w:hAnsi="Tw Cen MT"/>
        </w:rPr>
        <w:t xml:space="preserve">the targeted SOEs, SOE-driven projects and </w:t>
      </w:r>
      <w:r w:rsidR="00FC4BE9">
        <w:rPr>
          <w:rFonts w:ascii="Tw Cen MT" w:hAnsi="Tw Cen MT"/>
        </w:rPr>
        <w:t xml:space="preserve">entrepreneurial </w:t>
      </w:r>
      <w:r w:rsidR="000615F7" w:rsidRPr="00725D9D">
        <w:rPr>
          <w:rFonts w:ascii="Tw Cen MT" w:hAnsi="Tw Cen MT"/>
        </w:rPr>
        <w:t>ecosystem development</w:t>
      </w:r>
    </w:p>
    <w:p w14:paraId="6787FAB4" w14:textId="77777777" w:rsidR="00725D9D" w:rsidRPr="00725D9D" w:rsidRDefault="00725D9D" w:rsidP="00725D9D">
      <w:pPr>
        <w:pStyle w:val="Paragraphedeliste"/>
        <w:ind w:left="1502"/>
        <w:rPr>
          <w:rFonts w:ascii="Tw Cen MT" w:hAnsi="Tw Cen MT"/>
          <w:sz w:val="24"/>
          <w:szCs w:val="24"/>
        </w:rPr>
      </w:pPr>
    </w:p>
    <w:p w14:paraId="52DD618C" w14:textId="77777777" w:rsidR="00BB118B" w:rsidRPr="00F20141" w:rsidRDefault="00BB118B" w:rsidP="00B8096A">
      <w:pPr>
        <w:pStyle w:val="Titre2"/>
        <w:spacing w:before="0"/>
        <w:jc w:val="both"/>
        <w:rPr>
          <w:rFonts w:ascii="Tw Cen MT" w:hAnsi="Tw Cen MT"/>
        </w:rPr>
      </w:pPr>
      <w:bookmarkStart w:id="30" w:name="_Toc322967820"/>
      <w:bookmarkStart w:id="31" w:name="_Toc82590885"/>
      <w:bookmarkStart w:id="32" w:name="_Toc195120130"/>
      <w:r w:rsidRPr="00F20141">
        <w:rPr>
          <w:rFonts w:ascii="Tw Cen MT" w:hAnsi="Tw Cen MT"/>
        </w:rPr>
        <w:t>Expertise expected of the Service Provider</w:t>
      </w:r>
      <w:bookmarkEnd w:id="30"/>
      <w:bookmarkEnd w:id="31"/>
      <w:bookmarkEnd w:id="32"/>
    </w:p>
    <w:p w14:paraId="11F4081C" w14:textId="77777777" w:rsidR="00BB118B" w:rsidRPr="00F20141" w:rsidRDefault="00BB118B" w:rsidP="00B8096A">
      <w:pPr>
        <w:jc w:val="both"/>
        <w:rPr>
          <w:rFonts w:ascii="Tw Cen MT" w:hAnsi="Tw Cen MT"/>
          <w:highlight w:val="yellow"/>
        </w:rPr>
      </w:pPr>
    </w:p>
    <w:p w14:paraId="59E7E240" w14:textId="77777777" w:rsidR="00EB1858" w:rsidRPr="00F20141" w:rsidRDefault="00EB1858" w:rsidP="00EB1858">
      <w:pPr>
        <w:jc w:val="both"/>
        <w:rPr>
          <w:rFonts w:ascii="Tw Cen MT" w:hAnsi="Tw Cen MT"/>
        </w:rPr>
      </w:pPr>
      <w:r w:rsidRPr="00F20141">
        <w:rPr>
          <w:rFonts w:ascii="Tw Cen MT" w:hAnsi="Tw Cen MT"/>
        </w:rPr>
        <w:t xml:space="preserve">The service provider will assign qualified and experienced personnel – minimum 5 years of experience for each expert and 10 years for the key experts – corresponding to the services described in this specification, in order to achieve the results set out therein. </w:t>
      </w:r>
      <w:r w:rsidR="00DC6E2F" w:rsidRPr="00F20141">
        <w:rPr>
          <w:rFonts w:ascii="Tw Cen MT" w:hAnsi="Tw Cen MT"/>
        </w:rPr>
        <w:t>All members of the team should be fluent in English.</w:t>
      </w:r>
    </w:p>
    <w:p w14:paraId="2FDFA76A" w14:textId="77777777" w:rsidR="00EB1858" w:rsidRPr="00F20141" w:rsidRDefault="00EB1858" w:rsidP="00EB1858">
      <w:pPr>
        <w:jc w:val="both"/>
        <w:rPr>
          <w:rFonts w:ascii="Tw Cen MT" w:hAnsi="Tw Cen MT"/>
        </w:rPr>
      </w:pPr>
    </w:p>
    <w:p w14:paraId="32265225" w14:textId="77777777" w:rsidR="00EB1858" w:rsidRPr="00F20141" w:rsidRDefault="00EB1858" w:rsidP="00EB1858">
      <w:pPr>
        <w:jc w:val="both"/>
        <w:rPr>
          <w:rFonts w:ascii="Tw Cen MT" w:hAnsi="Tw Cen MT"/>
        </w:rPr>
      </w:pPr>
      <w:r w:rsidRPr="00F20141">
        <w:rPr>
          <w:rFonts w:ascii="Tw Cen MT" w:hAnsi="Tw Cen MT"/>
        </w:rPr>
        <w:t xml:space="preserve">To achieve these results, the </w:t>
      </w:r>
      <w:r w:rsidR="001E7015" w:rsidRPr="00F20141">
        <w:rPr>
          <w:rFonts w:ascii="Tw Cen MT" w:hAnsi="Tw Cen MT"/>
        </w:rPr>
        <w:t>consultant</w:t>
      </w:r>
      <w:r w:rsidRPr="00F20141">
        <w:rPr>
          <w:rFonts w:ascii="Tw Cen MT" w:hAnsi="Tw Cen MT"/>
        </w:rPr>
        <w:t xml:space="preserve"> will need to demonstrate skills and experience in the following areas:</w:t>
      </w:r>
    </w:p>
    <w:p w14:paraId="032A179B" w14:textId="77777777" w:rsidR="00EB1858" w:rsidRPr="00F20141" w:rsidRDefault="00EB1858" w:rsidP="00EB1858">
      <w:pPr>
        <w:jc w:val="both"/>
        <w:rPr>
          <w:rFonts w:ascii="Tw Cen MT" w:hAnsi="Tw Cen MT"/>
          <w:i/>
        </w:rPr>
      </w:pPr>
    </w:p>
    <w:p w14:paraId="00D857B3" w14:textId="77777777" w:rsidR="001E0889" w:rsidRPr="00973C4A" w:rsidRDefault="001E0889" w:rsidP="001E0889">
      <w:pPr>
        <w:pStyle w:val="Paragraphedeliste"/>
        <w:numPr>
          <w:ilvl w:val="0"/>
          <w:numId w:val="23"/>
        </w:numPr>
        <w:rPr>
          <w:rFonts w:ascii="Tw Cen MT" w:hAnsi="Tw Cen MT"/>
          <w:sz w:val="24"/>
          <w:szCs w:val="24"/>
        </w:rPr>
      </w:pPr>
      <w:r w:rsidRPr="00973C4A">
        <w:rPr>
          <w:rFonts w:ascii="Tw Cen MT" w:hAnsi="Tw Cen MT"/>
          <w:sz w:val="24"/>
          <w:szCs w:val="24"/>
        </w:rPr>
        <w:t>Experience in the field of international development finance and specific experience in the design and management of pr</w:t>
      </w:r>
      <w:r>
        <w:rPr>
          <w:rFonts w:ascii="Tw Cen MT" w:hAnsi="Tw Cen MT"/>
          <w:sz w:val="24"/>
          <w:szCs w:val="24"/>
        </w:rPr>
        <w:t>ojects in support to SOE</w:t>
      </w:r>
      <w:r w:rsidRPr="00973C4A">
        <w:rPr>
          <w:rFonts w:ascii="Tw Cen MT" w:hAnsi="Tw Cen MT"/>
          <w:sz w:val="24"/>
          <w:szCs w:val="24"/>
        </w:rPr>
        <w:t xml:space="preserve"> sector;</w:t>
      </w:r>
    </w:p>
    <w:p w14:paraId="06A91EF6" w14:textId="068A2F83" w:rsidR="001E0889" w:rsidRPr="00973C4A" w:rsidRDefault="001E0889" w:rsidP="001E0889">
      <w:pPr>
        <w:pStyle w:val="Paragraphedeliste"/>
        <w:numPr>
          <w:ilvl w:val="0"/>
          <w:numId w:val="23"/>
        </w:numPr>
        <w:rPr>
          <w:rFonts w:ascii="Tw Cen MT" w:hAnsi="Tw Cen MT"/>
          <w:sz w:val="24"/>
          <w:szCs w:val="24"/>
        </w:rPr>
      </w:pPr>
      <w:r w:rsidRPr="00973C4A">
        <w:rPr>
          <w:rFonts w:ascii="Tw Cen MT" w:hAnsi="Tw Cen MT"/>
          <w:sz w:val="24"/>
          <w:szCs w:val="24"/>
        </w:rPr>
        <w:t xml:space="preserve">Experience and </w:t>
      </w:r>
      <w:r w:rsidR="00B276BD">
        <w:rPr>
          <w:rFonts w:ascii="Tw Cen MT" w:hAnsi="Tw Cen MT"/>
          <w:sz w:val="24"/>
          <w:szCs w:val="24"/>
        </w:rPr>
        <w:t xml:space="preserve">advanced </w:t>
      </w:r>
      <w:r w:rsidRPr="00973C4A">
        <w:rPr>
          <w:rFonts w:ascii="Tw Cen MT" w:hAnsi="Tw Cen MT"/>
          <w:sz w:val="24"/>
          <w:szCs w:val="24"/>
        </w:rPr>
        <w:t>skills in</w:t>
      </w:r>
      <w:r w:rsidR="00B276BD">
        <w:rPr>
          <w:rFonts w:ascii="Tw Cen MT" w:hAnsi="Tw Cen MT"/>
          <w:sz w:val="24"/>
          <w:szCs w:val="24"/>
        </w:rPr>
        <w:t xml:space="preserve"> SOE</w:t>
      </w:r>
      <w:r w:rsidRPr="00973C4A">
        <w:rPr>
          <w:rFonts w:ascii="Tw Cen MT" w:hAnsi="Tw Cen MT"/>
          <w:sz w:val="24"/>
          <w:szCs w:val="24"/>
        </w:rPr>
        <w:t xml:space="preserve"> financial </w:t>
      </w:r>
      <w:r>
        <w:rPr>
          <w:rFonts w:ascii="Tw Cen MT" w:hAnsi="Tw Cen MT"/>
          <w:sz w:val="24"/>
          <w:szCs w:val="24"/>
        </w:rPr>
        <w:t xml:space="preserve">analysis and </w:t>
      </w:r>
      <w:proofErr w:type="spellStart"/>
      <w:r w:rsidR="00B276BD">
        <w:rPr>
          <w:rFonts w:ascii="Tw Cen MT" w:hAnsi="Tw Cen MT"/>
          <w:sz w:val="24"/>
          <w:szCs w:val="24"/>
        </w:rPr>
        <w:t>perfomance</w:t>
      </w:r>
      <w:proofErr w:type="spellEnd"/>
      <w:r w:rsidRPr="00973C4A">
        <w:rPr>
          <w:rFonts w:ascii="Tw Cen MT" w:hAnsi="Tw Cen MT"/>
          <w:sz w:val="24"/>
          <w:szCs w:val="24"/>
        </w:rPr>
        <w:t xml:space="preserve"> assessment</w:t>
      </w:r>
      <w:r w:rsidR="00F078C6">
        <w:rPr>
          <w:rFonts w:ascii="Tw Cen MT" w:hAnsi="Tw Cen MT"/>
          <w:sz w:val="24"/>
          <w:szCs w:val="24"/>
        </w:rPr>
        <w:t xml:space="preserve"> (including </w:t>
      </w:r>
      <w:r w:rsidR="00B276BD" w:rsidRPr="00B276BD">
        <w:rPr>
          <w:rFonts w:ascii="Tw Cen MT" w:hAnsi="Tw Cen MT"/>
          <w:sz w:val="24"/>
          <w:szCs w:val="24"/>
        </w:rPr>
        <w:t xml:space="preserve">SOE governance, restructuring programs, or corporate </w:t>
      </w:r>
      <w:r w:rsidR="00F078C6">
        <w:rPr>
          <w:rFonts w:ascii="Tw Cen MT" w:hAnsi="Tw Cen MT"/>
          <w:sz w:val="24"/>
          <w:szCs w:val="24"/>
        </w:rPr>
        <w:t xml:space="preserve">governance </w:t>
      </w:r>
      <w:r w:rsidR="00B276BD" w:rsidRPr="00B276BD">
        <w:rPr>
          <w:rFonts w:ascii="Tw Cen MT" w:hAnsi="Tw Cen MT"/>
          <w:sz w:val="24"/>
          <w:szCs w:val="24"/>
        </w:rPr>
        <w:t>assessments</w:t>
      </w:r>
      <w:r w:rsidR="00B276BD">
        <w:rPr>
          <w:rFonts w:ascii="Tw Cen MT" w:hAnsi="Tw Cen MT"/>
          <w:sz w:val="24"/>
          <w:szCs w:val="24"/>
        </w:rPr>
        <w:t xml:space="preserve"> </w:t>
      </w:r>
      <w:proofErr w:type="gramStart"/>
      <w:r w:rsidR="00F078C6">
        <w:rPr>
          <w:rFonts w:ascii="Tw Cen MT" w:hAnsi="Tw Cen MT"/>
          <w:sz w:val="24"/>
          <w:szCs w:val="24"/>
        </w:rPr>
        <w:t>)</w:t>
      </w:r>
      <w:r w:rsidRPr="00973C4A">
        <w:rPr>
          <w:rFonts w:ascii="Tw Cen MT" w:hAnsi="Tw Cen MT"/>
          <w:sz w:val="24"/>
          <w:szCs w:val="24"/>
        </w:rPr>
        <w:t>;</w:t>
      </w:r>
      <w:r w:rsidR="00B276BD" w:rsidRPr="00B276BD">
        <w:rPr>
          <w:rFonts w:ascii="Tw Cen MT" w:hAnsi="Tw Cen MT"/>
          <w:sz w:val="24"/>
          <w:szCs w:val="24"/>
        </w:rPr>
        <w:t>.</w:t>
      </w:r>
      <w:proofErr w:type="gramEnd"/>
    </w:p>
    <w:p w14:paraId="21157EEE" w14:textId="77777777" w:rsidR="001E0889" w:rsidRDefault="001E0889" w:rsidP="001E0889">
      <w:pPr>
        <w:pStyle w:val="Paragraphedeliste"/>
        <w:numPr>
          <w:ilvl w:val="0"/>
          <w:numId w:val="23"/>
        </w:numPr>
        <w:rPr>
          <w:rFonts w:ascii="Tw Cen MT" w:hAnsi="Tw Cen MT"/>
          <w:sz w:val="24"/>
          <w:szCs w:val="24"/>
        </w:rPr>
      </w:pPr>
      <w:r w:rsidRPr="00973C4A">
        <w:rPr>
          <w:rFonts w:ascii="Tw Cen MT" w:hAnsi="Tw Cen MT"/>
          <w:sz w:val="24"/>
          <w:szCs w:val="24"/>
        </w:rPr>
        <w:t>Experience of work</w:t>
      </w:r>
      <w:r>
        <w:rPr>
          <w:rFonts w:ascii="Tw Cen MT" w:hAnsi="Tw Cen MT"/>
          <w:sz w:val="24"/>
          <w:szCs w:val="24"/>
        </w:rPr>
        <w:t>ing with SOEs</w:t>
      </w:r>
      <w:r w:rsidRPr="00973C4A">
        <w:rPr>
          <w:rFonts w:ascii="Tw Cen MT" w:hAnsi="Tw Cen MT"/>
          <w:sz w:val="24"/>
          <w:szCs w:val="24"/>
        </w:rPr>
        <w:t>;</w:t>
      </w:r>
    </w:p>
    <w:p w14:paraId="50B346AF" w14:textId="77777777" w:rsidR="001E0889" w:rsidRPr="00973C4A" w:rsidRDefault="001E0889" w:rsidP="001E0889">
      <w:pPr>
        <w:pStyle w:val="Paragraphedeliste"/>
        <w:numPr>
          <w:ilvl w:val="0"/>
          <w:numId w:val="23"/>
        </w:numPr>
        <w:rPr>
          <w:rFonts w:ascii="Tw Cen MT" w:hAnsi="Tw Cen MT"/>
          <w:sz w:val="24"/>
          <w:szCs w:val="24"/>
        </w:rPr>
      </w:pPr>
      <w:r>
        <w:rPr>
          <w:rFonts w:ascii="Tw Cen MT" w:hAnsi="Tw Cen MT"/>
          <w:sz w:val="24"/>
          <w:szCs w:val="24"/>
        </w:rPr>
        <w:t>Knowledge of sustainable and responsible finance;</w:t>
      </w:r>
    </w:p>
    <w:p w14:paraId="08AB8BE8" w14:textId="77777777" w:rsidR="001E0889" w:rsidRDefault="001E0889" w:rsidP="001E0889">
      <w:pPr>
        <w:pStyle w:val="Paragraphedeliste"/>
        <w:numPr>
          <w:ilvl w:val="0"/>
          <w:numId w:val="23"/>
        </w:numPr>
        <w:rPr>
          <w:rFonts w:ascii="Tw Cen MT" w:hAnsi="Tw Cen MT"/>
          <w:sz w:val="24"/>
          <w:szCs w:val="24"/>
        </w:rPr>
      </w:pPr>
      <w:r w:rsidRPr="00973C4A">
        <w:rPr>
          <w:rFonts w:ascii="Tw Cen MT" w:hAnsi="Tw Cen MT"/>
          <w:sz w:val="24"/>
          <w:szCs w:val="24"/>
        </w:rPr>
        <w:t>Experience of environmental and social management systems;</w:t>
      </w:r>
    </w:p>
    <w:p w14:paraId="27A063E6" w14:textId="77777777" w:rsidR="001E0889" w:rsidRDefault="001E0889" w:rsidP="001E0889">
      <w:pPr>
        <w:pStyle w:val="Paragraphedeliste"/>
        <w:numPr>
          <w:ilvl w:val="0"/>
          <w:numId w:val="23"/>
        </w:numPr>
        <w:rPr>
          <w:rFonts w:ascii="Tw Cen MT" w:hAnsi="Tw Cen MT"/>
          <w:sz w:val="24"/>
          <w:szCs w:val="24"/>
        </w:rPr>
      </w:pPr>
      <w:r>
        <w:rPr>
          <w:rFonts w:ascii="Tw Cen MT" w:hAnsi="Tw Cen MT"/>
          <w:sz w:val="24"/>
          <w:szCs w:val="24"/>
        </w:rPr>
        <w:t>Experience in conducting studies on SOE support programmes;</w:t>
      </w:r>
    </w:p>
    <w:p w14:paraId="4F25331D" w14:textId="7E4D7BC5" w:rsidR="001E0889" w:rsidRPr="00973C4A" w:rsidRDefault="001E0889" w:rsidP="001E0889">
      <w:pPr>
        <w:pStyle w:val="Paragraphedeliste"/>
        <w:numPr>
          <w:ilvl w:val="0"/>
          <w:numId w:val="23"/>
        </w:numPr>
        <w:rPr>
          <w:rFonts w:ascii="Tw Cen MT" w:hAnsi="Tw Cen MT"/>
          <w:sz w:val="24"/>
          <w:szCs w:val="24"/>
        </w:rPr>
      </w:pPr>
      <w:r w:rsidRPr="00973C4A">
        <w:rPr>
          <w:rFonts w:ascii="Tw Cen MT" w:hAnsi="Tw Cen MT"/>
          <w:sz w:val="24"/>
          <w:szCs w:val="24"/>
        </w:rPr>
        <w:lastRenderedPageBreak/>
        <w:t>Know</w:t>
      </w:r>
      <w:r>
        <w:rPr>
          <w:rFonts w:ascii="Tw Cen MT" w:hAnsi="Tw Cen MT"/>
          <w:sz w:val="24"/>
          <w:szCs w:val="24"/>
        </w:rPr>
        <w:t>ledge of the Georgian</w:t>
      </w:r>
      <w:r w:rsidR="006A2A63">
        <w:rPr>
          <w:rFonts w:ascii="Tw Cen MT" w:hAnsi="Tw Cen MT"/>
          <w:sz w:val="24"/>
          <w:szCs w:val="24"/>
        </w:rPr>
        <w:t xml:space="preserve"> and Armenian</w:t>
      </w:r>
      <w:r w:rsidRPr="00973C4A">
        <w:rPr>
          <w:rFonts w:ascii="Tw Cen MT" w:hAnsi="Tw Cen MT"/>
          <w:sz w:val="24"/>
          <w:szCs w:val="24"/>
        </w:rPr>
        <w:t xml:space="preserve"> context</w:t>
      </w:r>
      <w:r w:rsidR="00B276BD">
        <w:rPr>
          <w:rFonts w:ascii="Tw Cen MT" w:hAnsi="Tw Cen MT"/>
          <w:sz w:val="24"/>
          <w:szCs w:val="24"/>
        </w:rPr>
        <w:t>,</w:t>
      </w:r>
      <w:r w:rsidR="00B276BD" w:rsidRPr="00B276BD">
        <w:rPr>
          <w:rFonts w:ascii="Tw Cen MT" w:hAnsi="Tw Cen MT"/>
          <w:sz w:val="24"/>
          <w:szCs w:val="24"/>
        </w:rPr>
        <w:t xml:space="preserve"> stakeholder landscape</w:t>
      </w:r>
      <w:r w:rsidR="00B276BD">
        <w:rPr>
          <w:rFonts w:ascii="Tw Cen MT" w:hAnsi="Tw Cen MT"/>
          <w:sz w:val="24"/>
          <w:szCs w:val="24"/>
        </w:rPr>
        <w:t xml:space="preserve">, </w:t>
      </w:r>
      <w:r w:rsidR="00D2144B">
        <w:rPr>
          <w:rFonts w:ascii="Tw Cen MT" w:hAnsi="Tw Cen MT"/>
          <w:sz w:val="24"/>
          <w:szCs w:val="24"/>
        </w:rPr>
        <w:t xml:space="preserve">and if </w:t>
      </w:r>
      <w:proofErr w:type="gramStart"/>
      <w:r w:rsidR="00D2144B">
        <w:rPr>
          <w:rFonts w:ascii="Tw Cen MT" w:hAnsi="Tw Cen MT"/>
          <w:sz w:val="24"/>
          <w:szCs w:val="24"/>
        </w:rPr>
        <w:t>possible</w:t>
      </w:r>
      <w:proofErr w:type="gramEnd"/>
      <w:r w:rsidR="00D2144B">
        <w:rPr>
          <w:rFonts w:ascii="Tw Cen MT" w:hAnsi="Tw Cen MT"/>
          <w:sz w:val="24"/>
          <w:szCs w:val="24"/>
        </w:rPr>
        <w:t xml:space="preserve"> knowledge of Georgian and Armenian language or alternatively Russian language</w:t>
      </w:r>
      <w:r>
        <w:rPr>
          <w:rFonts w:ascii="Tw Cen MT" w:hAnsi="Tw Cen MT"/>
          <w:sz w:val="24"/>
          <w:szCs w:val="24"/>
        </w:rPr>
        <w:t>;</w:t>
      </w:r>
    </w:p>
    <w:p w14:paraId="6126C117" w14:textId="7D9223D5" w:rsidR="001E0889" w:rsidRPr="00DB7C6F" w:rsidRDefault="001E0889" w:rsidP="001E0889">
      <w:pPr>
        <w:pStyle w:val="Paragraphedeliste"/>
        <w:numPr>
          <w:ilvl w:val="0"/>
          <w:numId w:val="23"/>
        </w:numPr>
        <w:rPr>
          <w:rFonts w:ascii="Tw Cen MT" w:hAnsi="Tw Cen MT"/>
          <w:color w:val="000000" w:themeColor="text1"/>
          <w:sz w:val="24"/>
          <w:szCs w:val="24"/>
        </w:rPr>
      </w:pPr>
      <w:r w:rsidRPr="00973C4A">
        <w:rPr>
          <w:rFonts w:ascii="Tw Cen MT" w:hAnsi="Tw Cen MT"/>
          <w:sz w:val="24"/>
          <w:szCs w:val="24"/>
        </w:rPr>
        <w:t xml:space="preserve">Skills </w:t>
      </w:r>
      <w:r w:rsidRPr="00F078C6">
        <w:rPr>
          <w:rFonts w:ascii="Tw Cen MT" w:hAnsi="Tw Cen MT"/>
          <w:color w:val="000000" w:themeColor="text1"/>
          <w:sz w:val="24"/>
          <w:szCs w:val="24"/>
        </w:rPr>
        <w:t>and experiences in conducting project design</w:t>
      </w:r>
      <w:r w:rsidR="00B276BD">
        <w:rPr>
          <w:rFonts w:ascii="Tw Cen MT" w:hAnsi="Tw Cen MT"/>
          <w:color w:val="000000" w:themeColor="text1"/>
          <w:sz w:val="24"/>
          <w:szCs w:val="24"/>
        </w:rPr>
        <w:t>/</w:t>
      </w:r>
      <w:r w:rsidR="00B276BD" w:rsidRPr="00B276BD">
        <w:rPr>
          <w:rFonts w:ascii="Tw Cen MT" w:hAnsi="Tw Cen MT"/>
          <w:sz w:val="24"/>
          <w:szCs w:val="24"/>
        </w:rPr>
        <w:t xml:space="preserve">feasibility or diagnostic </w:t>
      </w:r>
      <w:r w:rsidRPr="00F078C6">
        <w:rPr>
          <w:rFonts w:ascii="Tw Cen MT" w:hAnsi="Tw Cen MT"/>
          <w:color w:val="000000" w:themeColor="text1"/>
          <w:sz w:val="24"/>
          <w:szCs w:val="24"/>
        </w:rPr>
        <w:t xml:space="preserve">studies, with experiences of donors </w:t>
      </w:r>
      <w:r w:rsidRPr="00DB7C6F">
        <w:rPr>
          <w:rFonts w:ascii="Tw Cen MT" w:hAnsi="Tw Cen MT"/>
          <w:color w:val="000000" w:themeColor="text1"/>
          <w:sz w:val="24"/>
          <w:szCs w:val="24"/>
        </w:rPr>
        <w:t>(especially AFD).</w:t>
      </w:r>
    </w:p>
    <w:p w14:paraId="16F7BD50" w14:textId="77777777" w:rsidR="00F078C6" w:rsidRPr="00F078C6" w:rsidRDefault="00F078C6" w:rsidP="00F078C6">
      <w:pPr>
        <w:pStyle w:val="Paragraphedeliste"/>
        <w:numPr>
          <w:ilvl w:val="0"/>
          <w:numId w:val="23"/>
        </w:numPr>
        <w:rPr>
          <w:rFonts w:ascii="Tw Cen MT" w:hAnsi="Tw Cen MT"/>
          <w:color w:val="000000" w:themeColor="text1"/>
          <w:sz w:val="24"/>
          <w:szCs w:val="24"/>
        </w:rPr>
      </w:pPr>
      <w:r w:rsidRPr="00F078C6">
        <w:rPr>
          <w:rFonts w:ascii="Tw Cen MT" w:hAnsi="Tw Cen MT"/>
          <w:color w:val="000000" w:themeColor="text1"/>
          <w:sz w:val="24"/>
          <w:szCs w:val="24"/>
        </w:rPr>
        <w:t>Proven experience and knowledge of entrepreneurial ecosystems, particularly in emerging countries or countries in transition.</w:t>
      </w:r>
    </w:p>
    <w:p w14:paraId="39266095" w14:textId="77777777" w:rsidR="00F078C6" w:rsidRPr="00F078C6" w:rsidRDefault="00F078C6" w:rsidP="00F078C6">
      <w:pPr>
        <w:pStyle w:val="Paragraphedeliste"/>
        <w:numPr>
          <w:ilvl w:val="0"/>
          <w:numId w:val="23"/>
        </w:numPr>
        <w:rPr>
          <w:rFonts w:ascii="Tw Cen MT" w:hAnsi="Tw Cen MT"/>
          <w:color w:val="000000" w:themeColor="text1"/>
          <w:sz w:val="24"/>
          <w:szCs w:val="24"/>
        </w:rPr>
      </w:pPr>
      <w:r w:rsidRPr="00F078C6">
        <w:rPr>
          <w:rFonts w:ascii="Tw Cen MT" w:hAnsi="Tw Cen MT"/>
          <w:color w:val="000000" w:themeColor="text1"/>
          <w:sz w:val="24"/>
          <w:szCs w:val="24"/>
        </w:rPr>
        <w:t>Expertise in economic development, support and financing for VSEs/SMEs and support for public policies.</w:t>
      </w:r>
    </w:p>
    <w:p w14:paraId="410C93FD" w14:textId="76CC6940" w:rsidR="001E0889" w:rsidRDefault="006A2A63" w:rsidP="00B276BD">
      <w:pPr>
        <w:pStyle w:val="Paragraphedeliste"/>
        <w:numPr>
          <w:ilvl w:val="0"/>
          <w:numId w:val="23"/>
        </w:numPr>
        <w:rPr>
          <w:rFonts w:ascii="Tw Cen MT" w:hAnsi="Tw Cen MT"/>
          <w:color w:val="000000" w:themeColor="text1"/>
          <w:sz w:val="24"/>
          <w:szCs w:val="24"/>
        </w:rPr>
      </w:pPr>
      <w:r w:rsidRPr="00F078C6">
        <w:rPr>
          <w:rFonts w:ascii="Tw Cen MT" w:hAnsi="Tw Cen MT"/>
          <w:color w:val="000000" w:themeColor="text1"/>
          <w:sz w:val="24"/>
          <w:szCs w:val="24"/>
        </w:rPr>
        <w:t xml:space="preserve">Proven experience in monitoring and evaluation </w:t>
      </w:r>
    </w:p>
    <w:p w14:paraId="1A961F5D" w14:textId="77777777" w:rsidR="00BB118B" w:rsidRPr="00F20141" w:rsidRDefault="00BB118B" w:rsidP="00B8096A">
      <w:pPr>
        <w:jc w:val="both"/>
        <w:rPr>
          <w:rFonts w:ascii="Tw Cen MT" w:hAnsi="Tw Cen MT"/>
        </w:rPr>
      </w:pPr>
    </w:p>
    <w:p w14:paraId="0C3DED15" w14:textId="77777777" w:rsidR="00BB118B" w:rsidRPr="00F20141" w:rsidRDefault="00BB118B" w:rsidP="00B8096A">
      <w:pPr>
        <w:pStyle w:val="Titre1"/>
        <w:spacing w:before="0" w:after="0"/>
        <w:jc w:val="both"/>
        <w:rPr>
          <w:rFonts w:ascii="Tw Cen MT" w:hAnsi="Tw Cen MT"/>
          <w:i/>
        </w:rPr>
      </w:pPr>
      <w:bookmarkStart w:id="33" w:name="_Toc322967821"/>
      <w:bookmarkStart w:id="34" w:name="_Toc82590886"/>
      <w:bookmarkStart w:id="35" w:name="_Toc195120131"/>
      <w:r w:rsidRPr="00F20141">
        <w:rPr>
          <w:rFonts w:ascii="Tw Cen MT" w:hAnsi="Tw Cen MT"/>
        </w:rPr>
        <w:t>Validation of deliverables by AFD</w:t>
      </w:r>
      <w:bookmarkEnd w:id="33"/>
      <w:bookmarkEnd w:id="34"/>
      <w:bookmarkEnd w:id="35"/>
    </w:p>
    <w:p w14:paraId="3EBCFE3E" w14:textId="77777777" w:rsidR="00BB118B" w:rsidRPr="00F20141" w:rsidRDefault="00BB118B" w:rsidP="00B8096A">
      <w:pPr>
        <w:jc w:val="both"/>
        <w:rPr>
          <w:rFonts w:ascii="Tw Cen MT" w:hAnsi="Tw Cen MT"/>
        </w:rPr>
      </w:pPr>
    </w:p>
    <w:p w14:paraId="73727287" w14:textId="77777777" w:rsidR="00BB118B" w:rsidRPr="00F20141" w:rsidRDefault="00BB118B" w:rsidP="00B8096A">
      <w:pPr>
        <w:pStyle w:val="Titre2"/>
        <w:spacing w:before="0"/>
        <w:jc w:val="both"/>
        <w:rPr>
          <w:rFonts w:ascii="Tw Cen MT" w:hAnsi="Tw Cen MT"/>
        </w:rPr>
      </w:pPr>
      <w:bookmarkStart w:id="36" w:name="_Toc322967822"/>
      <w:bookmarkStart w:id="37" w:name="_Toc82590887"/>
      <w:bookmarkStart w:id="38" w:name="_Toc195120132"/>
      <w:r w:rsidRPr="00F20141">
        <w:rPr>
          <w:rFonts w:ascii="Tw Cen MT" w:hAnsi="Tw Cen MT"/>
        </w:rPr>
        <w:t>Deliverables validation process</w:t>
      </w:r>
      <w:bookmarkEnd w:id="36"/>
      <w:bookmarkEnd w:id="37"/>
      <w:bookmarkEnd w:id="38"/>
    </w:p>
    <w:p w14:paraId="08A0955D" w14:textId="77777777" w:rsidR="00BB118B" w:rsidRPr="00F20141" w:rsidRDefault="00BB118B" w:rsidP="00B8096A">
      <w:pPr>
        <w:jc w:val="both"/>
        <w:rPr>
          <w:rFonts w:ascii="Tw Cen MT" w:hAnsi="Tw Cen MT"/>
        </w:rPr>
      </w:pPr>
    </w:p>
    <w:p w14:paraId="138ECF0E" w14:textId="77777777" w:rsidR="00EB1858" w:rsidRPr="00F20141" w:rsidRDefault="00EB1858" w:rsidP="00EB1858">
      <w:pPr>
        <w:jc w:val="both"/>
        <w:rPr>
          <w:rFonts w:ascii="Tw Cen MT" w:hAnsi="Tw Cen MT"/>
        </w:rPr>
      </w:pPr>
      <w:r w:rsidRPr="00F20141">
        <w:rPr>
          <w:rFonts w:ascii="Tw Cen MT" w:hAnsi="Tw Cen MT"/>
        </w:rPr>
        <w:t>Upon receipt of each deliverable, AFD will have 10 working days to validate it or not. If AFD wishes to amend the deliverable, it will provide the Service Provider with its comments on these deliverables no later than 7 working days after receipt. The Service Provider will have 7 working days to take these comments into account and propose a new version of the deliverable. This process can be renewed until AFD is satisfied with the deliverable. The deliverable will be validated upon AFD’s decision.</w:t>
      </w:r>
    </w:p>
    <w:p w14:paraId="68A9FD63" w14:textId="77777777" w:rsidR="00EB1858" w:rsidRPr="00F20141" w:rsidRDefault="00EB1858" w:rsidP="00EB1858">
      <w:pPr>
        <w:jc w:val="both"/>
        <w:rPr>
          <w:rFonts w:ascii="Tw Cen MT" w:hAnsi="Tw Cen MT"/>
        </w:rPr>
      </w:pPr>
    </w:p>
    <w:p w14:paraId="5C6AACBC" w14:textId="77777777" w:rsidR="001E0889" w:rsidRDefault="001E0889" w:rsidP="001E0889">
      <w:pPr>
        <w:jc w:val="both"/>
        <w:rPr>
          <w:rFonts w:ascii="Tw Cen MT" w:hAnsi="Tw Cen MT"/>
        </w:rPr>
      </w:pPr>
      <w:r w:rsidRPr="00A44CD4">
        <w:rPr>
          <w:rFonts w:ascii="Tw Cen MT" w:hAnsi="Tw Cen MT"/>
        </w:rPr>
        <w:t>The deliverable will only be validated by decision o</w:t>
      </w:r>
      <w:r>
        <w:rPr>
          <w:rFonts w:ascii="Tw Cen MT" w:hAnsi="Tw Cen MT"/>
        </w:rPr>
        <w:t>f AFD.</w:t>
      </w:r>
    </w:p>
    <w:p w14:paraId="0371861C" w14:textId="77777777" w:rsidR="002059F2" w:rsidRPr="00F20141" w:rsidRDefault="002059F2" w:rsidP="00B8096A">
      <w:pPr>
        <w:jc w:val="both"/>
        <w:rPr>
          <w:rFonts w:ascii="Tw Cen MT" w:hAnsi="Tw Cen MT"/>
        </w:rPr>
      </w:pPr>
    </w:p>
    <w:p w14:paraId="3532A389" w14:textId="77777777" w:rsidR="00BB118B" w:rsidRPr="00F20141" w:rsidRDefault="00BB118B" w:rsidP="00B8096A">
      <w:pPr>
        <w:pStyle w:val="Titre2"/>
        <w:spacing w:before="0"/>
        <w:jc w:val="both"/>
        <w:rPr>
          <w:rFonts w:ascii="Tw Cen MT" w:hAnsi="Tw Cen MT"/>
        </w:rPr>
      </w:pPr>
      <w:bookmarkStart w:id="39" w:name="_Toc322967823"/>
      <w:bookmarkStart w:id="40" w:name="_Toc82590888"/>
      <w:bookmarkStart w:id="41" w:name="_Toc195120133"/>
      <w:r w:rsidRPr="00F20141">
        <w:rPr>
          <w:rFonts w:ascii="Tw Cen MT" w:hAnsi="Tw Cen MT"/>
        </w:rPr>
        <w:t>Validation criteria for deliverables</w:t>
      </w:r>
      <w:bookmarkEnd w:id="39"/>
      <w:bookmarkEnd w:id="40"/>
      <w:bookmarkEnd w:id="41"/>
    </w:p>
    <w:p w14:paraId="72B87D8F" w14:textId="77777777" w:rsidR="00BB118B" w:rsidRPr="00F20141" w:rsidRDefault="00BB118B" w:rsidP="00B8096A">
      <w:pPr>
        <w:jc w:val="both"/>
        <w:rPr>
          <w:rFonts w:ascii="Tw Cen MT" w:hAnsi="Tw Cen MT"/>
        </w:rPr>
      </w:pPr>
    </w:p>
    <w:p w14:paraId="2AB5B908" w14:textId="70E64D1A" w:rsidR="001E0889" w:rsidRPr="00B8096A" w:rsidRDefault="001E0889" w:rsidP="001E0889">
      <w:pPr>
        <w:pStyle w:val="Corpsdetexte"/>
        <w:numPr>
          <w:ilvl w:val="0"/>
          <w:numId w:val="24"/>
        </w:numPr>
        <w:rPr>
          <w:rFonts w:ascii="Tw Cen MT" w:hAnsi="Tw Cen MT"/>
          <w:sz w:val="24"/>
          <w:szCs w:val="24"/>
        </w:rPr>
      </w:pPr>
      <w:r w:rsidRPr="00B01DA5">
        <w:rPr>
          <w:rFonts w:ascii="Tw Cen MT" w:hAnsi="Tw Cen MT"/>
          <w:b/>
          <w:sz w:val="24"/>
        </w:rPr>
        <w:t>The clarity</w:t>
      </w:r>
      <w:r w:rsidR="00130672" w:rsidRPr="00B01DA5">
        <w:rPr>
          <w:rFonts w:ascii="Tw Cen MT" w:hAnsi="Tw Cen MT"/>
          <w:b/>
          <w:sz w:val="24"/>
        </w:rPr>
        <w:t>, concision</w:t>
      </w:r>
      <w:r w:rsidRPr="00B01DA5">
        <w:rPr>
          <w:rFonts w:ascii="Tw Cen MT" w:hAnsi="Tw Cen MT"/>
          <w:b/>
          <w:sz w:val="24"/>
        </w:rPr>
        <w:t xml:space="preserve"> and readability of the deliverables</w:t>
      </w:r>
      <w:r>
        <w:rPr>
          <w:rFonts w:ascii="Tw Cen MT" w:hAnsi="Tw Cen MT"/>
          <w:sz w:val="24"/>
        </w:rPr>
        <w:t>;</w:t>
      </w:r>
    </w:p>
    <w:p w14:paraId="188838E8" w14:textId="77777777" w:rsidR="001E0889" w:rsidRPr="00B8096A" w:rsidRDefault="001E0889" w:rsidP="001E0889">
      <w:pPr>
        <w:pStyle w:val="Corpsdetexte"/>
        <w:numPr>
          <w:ilvl w:val="0"/>
          <w:numId w:val="24"/>
        </w:numPr>
        <w:rPr>
          <w:rFonts w:ascii="Tw Cen MT" w:hAnsi="Tw Cen MT"/>
          <w:sz w:val="24"/>
          <w:szCs w:val="24"/>
        </w:rPr>
      </w:pPr>
      <w:r>
        <w:rPr>
          <w:rFonts w:ascii="Tw Cen MT" w:hAnsi="Tw Cen MT"/>
          <w:sz w:val="24"/>
        </w:rPr>
        <w:t>Compliance with deadlines;</w:t>
      </w:r>
    </w:p>
    <w:p w14:paraId="3CFBDD52" w14:textId="77777777" w:rsidR="001E0889" w:rsidRPr="00B8096A" w:rsidRDefault="001E0889" w:rsidP="001E0889">
      <w:pPr>
        <w:pStyle w:val="Corpsdetexte"/>
        <w:numPr>
          <w:ilvl w:val="0"/>
          <w:numId w:val="24"/>
        </w:numPr>
        <w:rPr>
          <w:rFonts w:ascii="Tw Cen MT" w:hAnsi="Tw Cen MT"/>
          <w:sz w:val="24"/>
          <w:szCs w:val="24"/>
        </w:rPr>
      </w:pPr>
      <w:r>
        <w:rPr>
          <w:rFonts w:ascii="Tw Cen MT" w:hAnsi="Tw Cen MT"/>
          <w:sz w:val="24"/>
        </w:rPr>
        <w:t>Compliance with the scope of the requested Service;</w:t>
      </w:r>
    </w:p>
    <w:p w14:paraId="25665FBE" w14:textId="77777777" w:rsidR="001E0889" w:rsidRPr="00B8096A" w:rsidRDefault="001E0889" w:rsidP="001E0889">
      <w:pPr>
        <w:pStyle w:val="Corpsdetexte"/>
        <w:numPr>
          <w:ilvl w:val="0"/>
          <w:numId w:val="24"/>
        </w:numPr>
        <w:rPr>
          <w:rFonts w:ascii="Tw Cen MT" w:hAnsi="Tw Cen MT"/>
          <w:sz w:val="24"/>
          <w:szCs w:val="24"/>
        </w:rPr>
      </w:pPr>
      <w:r>
        <w:rPr>
          <w:rFonts w:ascii="Tw Cen MT" w:hAnsi="Tw Cen MT"/>
          <w:sz w:val="24"/>
        </w:rPr>
        <w:t>The operational nature of the conclusions of the deliverables;</w:t>
      </w:r>
    </w:p>
    <w:p w14:paraId="6373C467" w14:textId="77777777" w:rsidR="001E0889" w:rsidRPr="00281EF6" w:rsidRDefault="001E0889" w:rsidP="001E0889">
      <w:pPr>
        <w:pStyle w:val="Corpsdetexte"/>
        <w:numPr>
          <w:ilvl w:val="0"/>
          <w:numId w:val="24"/>
        </w:numPr>
        <w:rPr>
          <w:rFonts w:ascii="Tw Cen MT" w:hAnsi="Tw Cen MT"/>
        </w:rPr>
      </w:pPr>
      <w:r>
        <w:rPr>
          <w:rFonts w:ascii="Tw Cen MT" w:hAnsi="Tw Cen MT"/>
          <w:sz w:val="24"/>
        </w:rPr>
        <w:t>The added value compared to the current situation.</w:t>
      </w:r>
    </w:p>
    <w:p w14:paraId="6B428F16" w14:textId="77777777" w:rsidR="00BB118B" w:rsidRPr="00F20141" w:rsidRDefault="00BB118B" w:rsidP="00203F36">
      <w:pPr>
        <w:jc w:val="both"/>
        <w:rPr>
          <w:rFonts w:ascii="Tw Cen MT" w:hAnsi="Tw Cen MT"/>
        </w:rPr>
      </w:pPr>
    </w:p>
    <w:p w14:paraId="73783FDE" w14:textId="77777777" w:rsidR="000A4EE1" w:rsidRPr="00F20141" w:rsidRDefault="000A4EE1" w:rsidP="00B8096A">
      <w:pPr>
        <w:jc w:val="both"/>
        <w:rPr>
          <w:rFonts w:ascii="Tw Cen MT" w:hAnsi="Tw Cen MT"/>
        </w:rPr>
      </w:pPr>
    </w:p>
    <w:p w14:paraId="673711AB" w14:textId="77777777" w:rsidR="00BB118B" w:rsidRPr="00F20141" w:rsidRDefault="00BB118B" w:rsidP="00B8096A">
      <w:pPr>
        <w:pStyle w:val="Titre1"/>
        <w:spacing w:before="0" w:after="0"/>
        <w:jc w:val="both"/>
        <w:rPr>
          <w:rFonts w:ascii="Tw Cen MT" w:hAnsi="Tw Cen MT"/>
          <w:i/>
        </w:rPr>
      </w:pPr>
      <w:bookmarkStart w:id="42" w:name="_Toc322967824"/>
      <w:bookmarkStart w:id="43" w:name="_Toc82590889"/>
      <w:bookmarkStart w:id="44" w:name="_Toc195120134"/>
      <w:r w:rsidRPr="00F20141">
        <w:rPr>
          <w:rFonts w:ascii="Tw Cen MT" w:hAnsi="Tw Cen MT"/>
        </w:rPr>
        <w:t>Constraints imposed by AFD</w:t>
      </w:r>
      <w:bookmarkEnd w:id="42"/>
      <w:bookmarkEnd w:id="43"/>
      <w:bookmarkEnd w:id="44"/>
    </w:p>
    <w:p w14:paraId="46ADCE39" w14:textId="77777777" w:rsidR="00BB118B" w:rsidRPr="00F20141" w:rsidRDefault="00BB118B" w:rsidP="00B8096A">
      <w:pPr>
        <w:jc w:val="both"/>
        <w:rPr>
          <w:rFonts w:ascii="Tw Cen MT" w:hAnsi="Tw Cen MT"/>
          <w:highlight w:val="yellow"/>
        </w:rPr>
      </w:pPr>
    </w:p>
    <w:p w14:paraId="14CD3946" w14:textId="77777777" w:rsidR="00EB1858" w:rsidRDefault="00EB1858" w:rsidP="00EB1858">
      <w:pPr>
        <w:jc w:val="both"/>
        <w:rPr>
          <w:rFonts w:ascii="Tw Cen MT" w:hAnsi="Tw Cen MT"/>
        </w:rPr>
      </w:pPr>
      <w:r w:rsidRPr="00F20141">
        <w:rPr>
          <w:rFonts w:ascii="Tw Cen MT" w:hAnsi="Tw Cen MT"/>
        </w:rPr>
        <w:t>The supplier undertakes to appoint a single contact person responsible for monitoring this contract.</w:t>
      </w:r>
    </w:p>
    <w:p w14:paraId="201B00BB" w14:textId="77777777" w:rsidR="001E0889" w:rsidRDefault="001E0889" w:rsidP="00EB1858">
      <w:pPr>
        <w:jc w:val="both"/>
        <w:rPr>
          <w:rFonts w:ascii="Tw Cen MT" w:hAnsi="Tw Cen MT"/>
        </w:rPr>
      </w:pPr>
    </w:p>
    <w:p w14:paraId="46F7D8A8" w14:textId="77777777" w:rsidR="001E0889" w:rsidRPr="008D3F84" w:rsidRDefault="001E0889" w:rsidP="001E0889">
      <w:pPr>
        <w:jc w:val="both"/>
        <w:rPr>
          <w:rFonts w:ascii="Tw Cen MT" w:hAnsi="Tw Cen MT" w:cs="Arial"/>
        </w:rPr>
      </w:pPr>
      <w:r>
        <w:rPr>
          <w:rFonts w:ascii="Tw Cen MT" w:hAnsi="Tw Cen MT"/>
        </w:rPr>
        <w:t xml:space="preserve">Under the contract, English must be invariably used with the project owner: documents, meetings, reports, telephone calls, e-mails, all deliverables, etc. </w:t>
      </w:r>
    </w:p>
    <w:p w14:paraId="2D3F6CE4" w14:textId="77777777" w:rsidR="001E0889" w:rsidRPr="00F20141" w:rsidRDefault="001E0889" w:rsidP="00EB1858">
      <w:pPr>
        <w:jc w:val="both"/>
        <w:rPr>
          <w:rFonts w:ascii="Tw Cen MT" w:hAnsi="Tw Cen MT"/>
        </w:rPr>
      </w:pPr>
    </w:p>
    <w:p w14:paraId="5EB78734" w14:textId="71516ED5" w:rsidR="006940E9" w:rsidRPr="00F20141" w:rsidRDefault="006940E9" w:rsidP="00B8096A">
      <w:pPr>
        <w:jc w:val="both"/>
        <w:rPr>
          <w:rFonts w:ascii="Tw Cen MT" w:hAnsi="Tw Cen MT"/>
        </w:rPr>
      </w:pPr>
    </w:p>
    <w:p w14:paraId="41CABD5E" w14:textId="77777777" w:rsidR="00BB118B" w:rsidRPr="00F20141" w:rsidRDefault="00BB118B" w:rsidP="00B8096A">
      <w:pPr>
        <w:pStyle w:val="Titre1"/>
        <w:spacing w:before="0" w:after="0"/>
        <w:jc w:val="both"/>
        <w:rPr>
          <w:rFonts w:ascii="Tw Cen MT" w:hAnsi="Tw Cen MT"/>
        </w:rPr>
      </w:pPr>
      <w:bookmarkStart w:id="45" w:name="_Toc322967825"/>
      <w:bookmarkStart w:id="46" w:name="_Toc82590892"/>
      <w:bookmarkStart w:id="47" w:name="_Toc195120135"/>
      <w:r w:rsidRPr="00F20141">
        <w:rPr>
          <w:rFonts w:ascii="Tw Cen MT" w:hAnsi="Tw Cen MT"/>
        </w:rPr>
        <w:t>Resources made available to the Service Provider</w:t>
      </w:r>
      <w:bookmarkEnd w:id="45"/>
      <w:bookmarkEnd w:id="46"/>
      <w:bookmarkEnd w:id="47"/>
    </w:p>
    <w:p w14:paraId="19CF9312" w14:textId="77777777" w:rsidR="00BB118B" w:rsidRPr="00F20141" w:rsidRDefault="00BB118B" w:rsidP="00B8096A">
      <w:pPr>
        <w:jc w:val="both"/>
        <w:rPr>
          <w:rFonts w:ascii="Tw Cen MT" w:hAnsi="Tw Cen MT"/>
          <w:highlight w:val="yellow"/>
        </w:rPr>
      </w:pPr>
    </w:p>
    <w:p w14:paraId="4B49DDCC" w14:textId="77777777" w:rsidR="00EB1858" w:rsidRPr="00F20141" w:rsidRDefault="00EB1858" w:rsidP="00EB1858">
      <w:pPr>
        <w:jc w:val="both"/>
        <w:rPr>
          <w:rFonts w:ascii="Tw Cen MT" w:hAnsi="Tw Cen MT"/>
        </w:rPr>
      </w:pPr>
      <w:r w:rsidRPr="00F20141">
        <w:rPr>
          <w:rFonts w:ascii="Tw Cen MT" w:hAnsi="Tw Cen MT"/>
        </w:rPr>
        <w:t xml:space="preserve">All travel under this contract will be under the full responsibility of the service provider, including when the service provider accompanies an AFD Project Manager. The AFD Agencies in the field will be able to support the service provider in the organization of on-site missions (contact with stakeholders, organizational proposals, etc.), which will be coordinated with the Mission Manager and the Project Team Leader, if applicable. </w:t>
      </w:r>
    </w:p>
    <w:p w14:paraId="6BCEC727" w14:textId="77777777" w:rsidR="000A4EE1" w:rsidRPr="00F20141" w:rsidRDefault="000A4EE1" w:rsidP="00B8096A">
      <w:pPr>
        <w:jc w:val="both"/>
        <w:rPr>
          <w:rFonts w:ascii="Tw Cen MT" w:hAnsi="Tw Cen MT"/>
        </w:rPr>
      </w:pPr>
    </w:p>
    <w:p w14:paraId="76BB2085" w14:textId="77777777" w:rsidR="00BB118B" w:rsidRPr="00F20141" w:rsidRDefault="00BB118B" w:rsidP="00B8096A">
      <w:pPr>
        <w:pStyle w:val="En-tte"/>
        <w:overflowPunct w:val="0"/>
        <w:autoSpaceDE w:val="0"/>
        <w:autoSpaceDN w:val="0"/>
        <w:adjustRightInd w:val="0"/>
        <w:ind w:left="360"/>
        <w:jc w:val="both"/>
        <w:rPr>
          <w:rFonts w:ascii="Tw Cen MT" w:hAnsi="Tw Cen MT"/>
        </w:rPr>
      </w:pPr>
    </w:p>
    <w:p w14:paraId="03DB8A2D" w14:textId="77777777" w:rsidR="00BB118B" w:rsidRPr="00F20141" w:rsidRDefault="00BB118B" w:rsidP="00B8096A">
      <w:pPr>
        <w:pStyle w:val="Titre1"/>
        <w:spacing w:before="0" w:after="0"/>
        <w:jc w:val="both"/>
        <w:rPr>
          <w:rFonts w:ascii="Tw Cen MT" w:hAnsi="Tw Cen MT"/>
        </w:rPr>
      </w:pPr>
      <w:bookmarkStart w:id="48" w:name="_Toc322967827"/>
      <w:bookmarkStart w:id="49" w:name="_Toc82590893"/>
      <w:bookmarkStart w:id="50" w:name="_Toc195120136"/>
      <w:r w:rsidRPr="00F20141">
        <w:rPr>
          <w:rFonts w:ascii="Tw Cen MT" w:hAnsi="Tw Cen MT"/>
        </w:rPr>
        <w:t xml:space="preserve">Provisional schedule for </w:t>
      </w:r>
      <w:bookmarkEnd w:id="48"/>
      <w:r w:rsidRPr="00F20141">
        <w:rPr>
          <w:rFonts w:ascii="Tw Cen MT" w:hAnsi="Tw Cen MT"/>
        </w:rPr>
        <w:t>the services</w:t>
      </w:r>
      <w:bookmarkEnd w:id="49"/>
      <w:bookmarkEnd w:id="50"/>
    </w:p>
    <w:p w14:paraId="18509D91" w14:textId="77777777" w:rsidR="000A4EE1" w:rsidRPr="00F20141" w:rsidRDefault="000A4EE1" w:rsidP="00203F36">
      <w:pPr>
        <w:rPr>
          <w:rFonts w:ascii="Tw Cen MT" w:hAnsi="Tw Cen MT"/>
        </w:rPr>
      </w:pPr>
    </w:p>
    <w:p w14:paraId="67B98682" w14:textId="3C69D135" w:rsidR="00EB1858" w:rsidRPr="00F20141" w:rsidRDefault="00EB1858" w:rsidP="00EB1858">
      <w:pPr>
        <w:rPr>
          <w:rFonts w:ascii="Tw Cen MT" w:hAnsi="Tw Cen MT"/>
        </w:rPr>
      </w:pPr>
      <w:r w:rsidRPr="00F20141">
        <w:rPr>
          <w:rFonts w:ascii="Tw Cen MT" w:hAnsi="Tw Cen MT"/>
        </w:rPr>
        <w:t xml:space="preserve">This contract will start </w:t>
      </w:r>
      <w:r w:rsidR="00AF23A6">
        <w:rPr>
          <w:rFonts w:ascii="Tw Cen MT" w:hAnsi="Tw Cen MT"/>
        </w:rPr>
        <w:t>in</w:t>
      </w:r>
      <w:r w:rsidR="00DC6E2F" w:rsidRPr="00B97DAB">
        <w:rPr>
          <w:rFonts w:ascii="Tw Cen MT" w:hAnsi="Tw Cen MT"/>
        </w:rPr>
        <w:t xml:space="preserve"> </w:t>
      </w:r>
      <w:r w:rsidR="00FB5CA3">
        <w:rPr>
          <w:rFonts w:ascii="Tw Cen MT" w:hAnsi="Tw Cen MT"/>
        </w:rPr>
        <w:t xml:space="preserve">July </w:t>
      </w:r>
      <w:r w:rsidR="001E0889">
        <w:rPr>
          <w:rFonts w:ascii="Tw Cen MT" w:hAnsi="Tw Cen MT"/>
        </w:rPr>
        <w:t>2025</w:t>
      </w:r>
      <w:r w:rsidRPr="00F20141">
        <w:rPr>
          <w:rFonts w:ascii="Tw Cen MT" w:hAnsi="Tw Cen MT"/>
        </w:rPr>
        <w:t xml:space="preserve">. </w:t>
      </w:r>
    </w:p>
    <w:p w14:paraId="536A2A54" w14:textId="77777777" w:rsidR="002D51F3" w:rsidRPr="00DB7C6F" w:rsidRDefault="002D51F3" w:rsidP="00203F36">
      <w:pPr>
        <w:rPr>
          <w:rFonts w:ascii="Tw Cen MT" w:hAnsi="Tw Cen MT"/>
          <w:color w:val="000000" w:themeColor="text1"/>
        </w:rPr>
      </w:pPr>
    </w:p>
    <w:p w14:paraId="2AE6B115" w14:textId="5316CC11" w:rsidR="00BB118B" w:rsidRDefault="006A2A63" w:rsidP="00B8096A">
      <w:pPr>
        <w:jc w:val="both"/>
        <w:rPr>
          <w:rFonts w:ascii="Tw Cen MT" w:hAnsi="Tw Cen MT"/>
          <w:color w:val="000000" w:themeColor="text1"/>
        </w:rPr>
      </w:pPr>
      <w:r w:rsidRPr="00DB7C6F">
        <w:rPr>
          <w:rFonts w:ascii="Tw Cen MT" w:hAnsi="Tw Cen MT"/>
          <w:color w:val="000000" w:themeColor="text1"/>
        </w:rPr>
        <w:t>The project timeline must allow for equal focus in Georgia and Armenia, with specific milestones for the completion of deliverables in each country. A field mission is recommended to gather first-hand insights and validate findings with local stakeholders</w:t>
      </w:r>
      <w:r w:rsidR="000C5A42" w:rsidRPr="00DB7C6F">
        <w:rPr>
          <w:rFonts w:ascii="Tw Cen MT" w:hAnsi="Tw Cen MT"/>
          <w:color w:val="000000" w:themeColor="text1"/>
        </w:rPr>
        <w:t xml:space="preserve">. </w:t>
      </w:r>
    </w:p>
    <w:p w14:paraId="2C9F7E32" w14:textId="5262EACC" w:rsidR="000F7BA4" w:rsidRDefault="000F7BA4" w:rsidP="00B8096A">
      <w:pPr>
        <w:jc w:val="both"/>
        <w:rPr>
          <w:rFonts w:ascii="Tw Cen MT" w:hAnsi="Tw Cen MT"/>
          <w:color w:val="000000" w:themeColor="text1"/>
        </w:rPr>
      </w:pPr>
    </w:p>
    <w:p w14:paraId="6EB018EA" w14:textId="5FAE9363" w:rsidR="000F7BA4" w:rsidRPr="000F7BA4" w:rsidRDefault="000F7BA4" w:rsidP="000F7BA4">
      <w:pPr>
        <w:spacing w:after="60"/>
        <w:jc w:val="both"/>
        <w:rPr>
          <w:rFonts w:ascii="Tw Cen MT" w:hAnsi="Tw Cen MT"/>
          <w:i/>
        </w:rPr>
      </w:pPr>
      <w:r>
        <w:rPr>
          <w:rFonts w:ascii="Tw Cen MT" w:hAnsi="Tw Cen MT"/>
        </w:rPr>
        <w:t>The following schedule is an indicative proposition. It may be revised during kick-off meeting.</w:t>
      </w: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5"/>
        <w:gridCol w:w="1980"/>
        <w:gridCol w:w="1980"/>
      </w:tblGrid>
      <w:tr w:rsidR="000F7BA4" w:rsidRPr="00281EF6" w14:paraId="29078690" w14:textId="77777777" w:rsidTr="00D74F67">
        <w:trPr>
          <w:jc w:val="center"/>
        </w:trPr>
        <w:tc>
          <w:tcPr>
            <w:tcW w:w="4675" w:type="dxa"/>
            <w:shd w:val="clear" w:color="auto" w:fill="EAF1DD" w:themeFill="accent3" w:themeFillTint="33"/>
            <w:vAlign w:val="center"/>
          </w:tcPr>
          <w:p w14:paraId="74B8C815" w14:textId="77777777" w:rsidR="000F7BA4" w:rsidRPr="00281EF6" w:rsidRDefault="000F7BA4" w:rsidP="00D74F67">
            <w:pPr>
              <w:rPr>
                <w:rFonts w:ascii="Tw Cen MT" w:hAnsi="Tw Cen MT"/>
                <w:b/>
              </w:rPr>
            </w:pPr>
            <w:r w:rsidRPr="00281EF6">
              <w:rPr>
                <w:rFonts w:ascii="Tw Cen MT" w:hAnsi="Tw Cen MT"/>
                <w:b/>
              </w:rPr>
              <w:t>Milestones</w:t>
            </w:r>
          </w:p>
        </w:tc>
        <w:tc>
          <w:tcPr>
            <w:tcW w:w="1980" w:type="dxa"/>
            <w:shd w:val="clear" w:color="auto" w:fill="EAF1DD" w:themeFill="accent3" w:themeFillTint="33"/>
            <w:vAlign w:val="center"/>
          </w:tcPr>
          <w:p w14:paraId="6FE0D03A" w14:textId="77777777" w:rsidR="000F7BA4" w:rsidRPr="00281EF6" w:rsidRDefault="000F7BA4" w:rsidP="00D74F67">
            <w:pPr>
              <w:jc w:val="center"/>
              <w:rPr>
                <w:rFonts w:ascii="Tw Cen MT" w:hAnsi="Tw Cen MT"/>
                <w:b/>
              </w:rPr>
            </w:pPr>
            <w:r w:rsidRPr="00281EF6">
              <w:rPr>
                <w:rFonts w:ascii="Tw Cen MT" w:hAnsi="Tw Cen MT"/>
                <w:b/>
              </w:rPr>
              <w:t>Dates</w:t>
            </w:r>
          </w:p>
        </w:tc>
        <w:tc>
          <w:tcPr>
            <w:tcW w:w="1980" w:type="dxa"/>
            <w:shd w:val="clear" w:color="auto" w:fill="EAF1DD" w:themeFill="accent3" w:themeFillTint="33"/>
            <w:vAlign w:val="center"/>
          </w:tcPr>
          <w:p w14:paraId="1EA131FD" w14:textId="77777777" w:rsidR="000F7BA4" w:rsidRPr="00281EF6" w:rsidRDefault="000F7BA4" w:rsidP="00D74F67">
            <w:pPr>
              <w:jc w:val="center"/>
              <w:rPr>
                <w:rFonts w:ascii="Tw Cen MT" w:hAnsi="Tw Cen MT"/>
                <w:b/>
              </w:rPr>
            </w:pPr>
            <w:r w:rsidRPr="00281EF6">
              <w:rPr>
                <w:rFonts w:ascii="Tw Cen MT" w:hAnsi="Tw Cen MT"/>
                <w:b/>
              </w:rPr>
              <w:t>Duration</w:t>
            </w:r>
          </w:p>
        </w:tc>
      </w:tr>
      <w:tr w:rsidR="000F7BA4" w:rsidRPr="00281EF6" w14:paraId="1D4C5144" w14:textId="77777777" w:rsidTr="00D74F67">
        <w:trPr>
          <w:jc w:val="center"/>
        </w:trPr>
        <w:tc>
          <w:tcPr>
            <w:tcW w:w="4675" w:type="dxa"/>
            <w:vAlign w:val="center"/>
          </w:tcPr>
          <w:p w14:paraId="20C1F903" w14:textId="77777777" w:rsidR="000F7BA4" w:rsidRPr="00281EF6" w:rsidRDefault="000F7BA4" w:rsidP="00D74F67">
            <w:pPr>
              <w:rPr>
                <w:rFonts w:ascii="Tw Cen MT" w:hAnsi="Tw Cen MT"/>
                <w:b/>
              </w:rPr>
            </w:pPr>
            <w:r w:rsidRPr="00281EF6">
              <w:rPr>
                <w:rFonts w:ascii="Tw Cen MT" w:hAnsi="Tw Cen MT"/>
                <w:b/>
              </w:rPr>
              <w:t>Commencement of the service</w:t>
            </w:r>
          </w:p>
        </w:tc>
        <w:tc>
          <w:tcPr>
            <w:tcW w:w="1980" w:type="dxa"/>
            <w:vAlign w:val="center"/>
          </w:tcPr>
          <w:p w14:paraId="4C7AB27E" w14:textId="5810C0AD" w:rsidR="000F7BA4" w:rsidRPr="00281EF6" w:rsidRDefault="000F7BA4" w:rsidP="000F7BA4">
            <w:pPr>
              <w:jc w:val="center"/>
              <w:rPr>
                <w:rFonts w:ascii="Tw Cen MT" w:hAnsi="Tw Cen MT"/>
              </w:rPr>
            </w:pPr>
            <w:r>
              <w:rPr>
                <w:rFonts w:ascii="Tw Cen MT" w:hAnsi="Tw Cen MT"/>
              </w:rPr>
              <w:t>May</w:t>
            </w:r>
            <w:r w:rsidR="00DE4A97">
              <w:rPr>
                <w:rFonts w:ascii="Tw Cen MT" w:hAnsi="Tw Cen MT"/>
              </w:rPr>
              <w:t xml:space="preserve"> 2025</w:t>
            </w:r>
          </w:p>
        </w:tc>
        <w:tc>
          <w:tcPr>
            <w:tcW w:w="1980" w:type="dxa"/>
            <w:vAlign w:val="center"/>
          </w:tcPr>
          <w:p w14:paraId="1A1E73C7" w14:textId="77777777" w:rsidR="000F7BA4" w:rsidRPr="00281EF6" w:rsidRDefault="000F7BA4" w:rsidP="00D74F67">
            <w:pPr>
              <w:jc w:val="center"/>
              <w:rPr>
                <w:rFonts w:ascii="Tw Cen MT" w:hAnsi="Tw Cen MT"/>
              </w:rPr>
            </w:pPr>
          </w:p>
        </w:tc>
      </w:tr>
      <w:tr w:rsidR="000F7BA4" w:rsidRPr="00281EF6" w14:paraId="3F54B8AC" w14:textId="77777777" w:rsidTr="00D74F67">
        <w:trPr>
          <w:jc w:val="center"/>
        </w:trPr>
        <w:tc>
          <w:tcPr>
            <w:tcW w:w="4675" w:type="dxa"/>
            <w:vAlign w:val="center"/>
          </w:tcPr>
          <w:p w14:paraId="13D66B7B" w14:textId="77777777" w:rsidR="000F7BA4" w:rsidRPr="00281EF6" w:rsidRDefault="000F7BA4" w:rsidP="00D74F67">
            <w:pPr>
              <w:rPr>
                <w:rFonts w:ascii="Tw Cen MT" w:hAnsi="Tw Cen MT"/>
                <w:b/>
              </w:rPr>
            </w:pPr>
            <w:r w:rsidRPr="00281EF6">
              <w:rPr>
                <w:rFonts w:ascii="Tw Cen MT" w:hAnsi="Tw Cen MT"/>
                <w:b/>
              </w:rPr>
              <w:t>Inception phase</w:t>
            </w:r>
          </w:p>
        </w:tc>
        <w:tc>
          <w:tcPr>
            <w:tcW w:w="1980" w:type="dxa"/>
            <w:vAlign w:val="center"/>
          </w:tcPr>
          <w:p w14:paraId="23E615FE" w14:textId="77777777" w:rsidR="000F7BA4" w:rsidRPr="00281EF6" w:rsidRDefault="000F7BA4" w:rsidP="00D74F67">
            <w:pPr>
              <w:jc w:val="center"/>
              <w:rPr>
                <w:rFonts w:ascii="Tw Cen MT" w:hAnsi="Tw Cen MT"/>
              </w:rPr>
            </w:pPr>
            <w:r w:rsidRPr="00281EF6">
              <w:rPr>
                <w:rFonts w:ascii="Tw Cen MT" w:hAnsi="Tw Cen MT"/>
              </w:rPr>
              <w:t>At commencement of the service</w:t>
            </w:r>
          </w:p>
        </w:tc>
        <w:tc>
          <w:tcPr>
            <w:tcW w:w="1980" w:type="dxa"/>
            <w:vAlign w:val="center"/>
          </w:tcPr>
          <w:p w14:paraId="4CE66F9D" w14:textId="77777777" w:rsidR="000F7BA4" w:rsidRPr="00281EF6" w:rsidRDefault="000F7BA4" w:rsidP="00D74F67">
            <w:pPr>
              <w:jc w:val="center"/>
              <w:rPr>
                <w:rFonts w:ascii="Tw Cen MT" w:hAnsi="Tw Cen MT"/>
              </w:rPr>
            </w:pPr>
            <w:r w:rsidRPr="00281EF6">
              <w:rPr>
                <w:rFonts w:ascii="Tw Cen MT" w:hAnsi="Tw Cen MT"/>
              </w:rPr>
              <w:t>2 weeks</w:t>
            </w:r>
          </w:p>
        </w:tc>
      </w:tr>
      <w:tr w:rsidR="000F7BA4" w:rsidRPr="00281EF6" w14:paraId="7D10202F" w14:textId="77777777" w:rsidTr="00D74F67">
        <w:trPr>
          <w:jc w:val="center"/>
        </w:trPr>
        <w:tc>
          <w:tcPr>
            <w:tcW w:w="4675" w:type="dxa"/>
            <w:vAlign w:val="center"/>
          </w:tcPr>
          <w:p w14:paraId="303D61C5" w14:textId="77777777" w:rsidR="000F7BA4" w:rsidRPr="00281EF6" w:rsidRDefault="000F7BA4" w:rsidP="00D74F67">
            <w:pPr>
              <w:rPr>
                <w:rFonts w:ascii="Tw Cen MT" w:hAnsi="Tw Cen MT"/>
                <w:b/>
              </w:rPr>
            </w:pPr>
            <w:r w:rsidRPr="00281EF6">
              <w:rPr>
                <w:rFonts w:ascii="Tw Cen MT" w:hAnsi="Tw Cen MT"/>
                <w:b/>
              </w:rPr>
              <w:t>Rollout phase</w:t>
            </w:r>
          </w:p>
        </w:tc>
        <w:tc>
          <w:tcPr>
            <w:tcW w:w="1980" w:type="dxa"/>
            <w:vAlign w:val="center"/>
          </w:tcPr>
          <w:p w14:paraId="3DDCA0C0" w14:textId="77777777" w:rsidR="000F7BA4" w:rsidRPr="00281EF6" w:rsidRDefault="000F7BA4" w:rsidP="00D74F67">
            <w:pPr>
              <w:jc w:val="center"/>
              <w:rPr>
                <w:rFonts w:ascii="Tw Cen MT" w:hAnsi="Tw Cen MT"/>
              </w:rPr>
            </w:pPr>
            <w:r w:rsidRPr="00281EF6">
              <w:rPr>
                <w:rFonts w:ascii="Tw Cen MT" w:hAnsi="Tw Cen MT"/>
              </w:rPr>
              <w:t>Immediately after Inception phase</w:t>
            </w:r>
          </w:p>
        </w:tc>
        <w:tc>
          <w:tcPr>
            <w:tcW w:w="1980" w:type="dxa"/>
            <w:vAlign w:val="center"/>
          </w:tcPr>
          <w:p w14:paraId="540FCBF4" w14:textId="77777777" w:rsidR="000F7BA4" w:rsidRPr="00281EF6" w:rsidRDefault="000F7BA4" w:rsidP="00D74F67">
            <w:pPr>
              <w:jc w:val="center"/>
              <w:rPr>
                <w:rFonts w:ascii="Tw Cen MT" w:hAnsi="Tw Cen MT"/>
              </w:rPr>
            </w:pPr>
          </w:p>
        </w:tc>
      </w:tr>
      <w:tr w:rsidR="000F7BA4" w:rsidRPr="00281EF6" w14:paraId="56BE0B03" w14:textId="77777777" w:rsidTr="00D74F67">
        <w:trPr>
          <w:trHeight w:val="473"/>
          <w:jc w:val="center"/>
        </w:trPr>
        <w:tc>
          <w:tcPr>
            <w:tcW w:w="4675" w:type="dxa"/>
            <w:vAlign w:val="center"/>
          </w:tcPr>
          <w:p w14:paraId="6EAFB564" w14:textId="598D68F2" w:rsidR="000F7BA4" w:rsidRPr="00281EF6" w:rsidRDefault="000F7BA4" w:rsidP="00D74F67">
            <w:pPr>
              <w:rPr>
                <w:rFonts w:ascii="Tw Cen MT" w:hAnsi="Tw Cen MT"/>
              </w:rPr>
            </w:pPr>
            <w:r>
              <w:rPr>
                <w:rFonts w:ascii="Tw Cen MT" w:hAnsi="Tw Cen MT"/>
              </w:rPr>
              <w:t>Component 1.</w:t>
            </w:r>
          </w:p>
        </w:tc>
        <w:tc>
          <w:tcPr>
            <w:tcW w:w="1980" w:type="dxa"/>
            <w:vAlign w:val="center"/>
          </w:tcPr>
          <w:p w14:paraId="65CEA327" w14:textId="77777777" w:rsidR="000F7BA4" w:rsidRPr="00281EF6" w:rsidRDefault="000F7BA4" w:rsidP="00D74F67">
            <w:pPr>
              <w:jc w:val="center"/>
              <w:rPr>
                <w:rFonts w:ascii="Tw Cen MT" w:hAnsi="Tw Cen MT"/>
              </w:rPr>
            </w:pPr>
            <w:r w:rsidRPr="00281EF6">
              <w:rPr>
                <w:rFonts w:ascii="Tw Cen MT" w:hAnsi="Tw Cen MT"/>
              </w:rPr>
              <w:t>At commencement of the Rollout phase</w:t>
            </w:r>
          </w:p>
        </w:tc>
        <w:tc>
          <w:tcPr>
            <w:tcW w:w="1980" w:type="dxa"/>
            <w:vAlign w:val="center"/>
          </w:tcPr>
          <w:p w14:paraId="435609AD" w14:textId="088667E8" w:rsidR="000F7BA4" w:rsidRPr="00281EF6" w:rsidRDefault="000F7BA4" w:rsidP="000F7BA4">
            <w:pPr>
              <w:jc w:val="center"/>
              <w:rPr>
                <w:rFonts w:ascii="Tw Cen MT" w:hAnsi="Tw Cen MT"/>
              </w:rPr>
            </w:pPr>
            <w:r w:rsidRPr="00281EF6">
              <w:rPr>
                <w:rFonts w:ascii="Tw Cen MT" w:hAnsi="Tw Cen MT"/>
              </w:rPr>
              <w:t>~</w:t>
            </w:r>
            <w:r>
              <w:rPr>
                <w:rFonts w:ascii="Tw Cen MT" w:hAnsi="Tw Cen MT"/>
              </w:rPr>
              <w:t>2,5 months</w:t>
            </w:r>
          </w:p>
        </w:tc>
      </w:tr>
      <w:tr w:rsidR="000F7BA4" w:rsidRPr="00281EF6" w14:paraId="7A881710" w14:textId="77777777" w:rsidTr="00D74F67">
        <w:trPr>
          <w:trHeight w:val="473"/>
          <w:jc w:val="center"/>
        </w:trPr>
        <w:tc>
          <w:tcPr>
            <w:tcW w:w="4675" w:type="dxa"/>
            <w:vAlign w:val="center"/>
          </w:tcPr>
          <w:p w14:paraId="53B951C6" w14:textId="4893232F" w:rsidR="000F7BA4" w:rsidRPr="00281EF6" w:rsidRDefault="000F7BA4" w:rsidP="00D74F67">
            <w:pPr>
              <w:rPr>
                <w:rFonts w:ascii="Tw Cen MT" w:hAnsi="Tw Cen MT"/>
              </w:rPr>
            </w:pPr>
            <w:r>
              <w:rPr>
                <w:rFonts w:ascii="Tw Cen MT" w:hAnsi="Tw Cen MT"/>
              </w:rPr>
              <w:t xml:space="preserve">Component 2. </w:t>
            </w:r>
          </w:p>
        </w:tc>
        <w:tc>
          <w:tcPr>
            <w:tcW w:w="1980" w:type="dxa"/>
            <w:vAlign w:val="center"/>
          </w:tcPr>
          <w:p w14:paraId="0782F10D" w14:textId="77777777" w:rsidR="000F7BA4" w:rsidRPr="00281EF6" w:rsidRDefault="000F7BA4" w:rsidP="00D74F67">
            <w:pPr>
              <w:jc w:val="center"/>
              <w:rPr>
                <w:rFonts w:ascii="Tw Cen MT" w:hAnsi="Tw Cen MT"/>
              </w:rPr>
            </w:pPr>
            <w:r w:rsidRPr="00281EF6">
              <w:rPr>
                <w:rFonts w:ascii="Tw Cen MT" w:hAnsi="Tw Cen MT"/>
              </w:rPr>
              <w:t>At commencement of the rollout phase</w:t>
            </w:r>
          </w:p>
        </w:tc>
        <w:tc>
          <w:tcPr>
            <w:tcW w:w="1980" w:type="dxa"/>
            <w:vAlign w:val="center"/>
          </w:tcPr>
          <w:p w14:paraId="45662436" w14:textId="037C557F" w:rsidR="000F7BA4" w:rsidRPr="00281EF6" w:rsidRDefault="000F7BA4" w:rsidP="000F7BA4">
            <w:pPr>
              <w:spacing w:line="480" w:lineRule="auto"/>
              <w:jc w:val="center"/>
              <w:rPr>
                <w:rFonts w:ascii="Tw Cen MT" w:hAnsi="Tw Cen MT"/>
              </w:rPr>
            </w:pPr>
            <w:r w:rsidRPr="00281EF6">
              <w:rPr>
                <w:rFonts w:ascii="Tw Cen MT" w:hAnsi="Tw Cen MT"/>
              </w:rPr>
              <w:t>~</w:t>
            </w:r>
            <w:r>
              <w:rPr>
                <w:rFonts w:ascii="Tw Cen MT" w:hAnsi="Tw Cen MT"/>
              </w:rPr>
              <w:t>1,5 months</w:t>
            </w:r>
          </w:p>
        </w:tc>
      </w:tr>
      <w:tr w:rsidR="000F7BA4" w:rsidRPr="00281EF6" w14:paraId="489EF3D2" w14:textId="77777777" w:rsidTr="00D74F67">
        <w:trPr>
          <w:jc w:val="center"/>
        </w:trPr>
        <w:tc>
          <w:tcPr>
            <w:tcW w:w="4675" w:type="dxa"/>
            <w:vAlign w:val="center"/>
          </w:tcPr>
          <w:p w14:paraId="51E9ACC9" w14:textId="77777777" w:rsidR="000F7BA4" w:rsidRPr="00281EF6" w:rsidRDefault="000F7BA4" w:rsidP="00D74F67">
            <w:pPr>
              <w:rPr>
                <w:rFonts w:ascii="Tw Cen MT" w:hAnsi="Tw Cen MT"/>
                <w:b/>
              </w:rPr>
            </w:pPr>
            <w:r w:rsidRPr="00281EF6">
              <w:rPr>
                <w:rFonts w:ascii="Tw Cen MT" w:hAnsi="Tw Cen MT"/>
                <w:b/>
              </w:rPr>
              <w:t>Conclusion phase</w:t>
            </w:r>
          </w:p>
        </w:tc>
        <w:tc>
          <w:tcPr>
            <w:tcW w:w="1980" w:type="dxa"/>
            <w:vAlign w:val="center"/>
          </w:tcPr>
          <w:p w14:paraId="0C966B1F" w14:textId="77777777" w:rsidR="000F7BA4" w:rsidRPr="00281EF6" w:rsidRDefault="000F7BA4" w:rsidP="00D74F67">
            <w:pPr>
              <w:jc w:val="center"/>
              <w:rPr>
                <w:rFonts w:ascii="Tw Cen MT" w:hAnsi="Tw Cen MT"/>
              </w:rPr>
            </w:pPr>
            <w:r w:rsidRPr="00281EF6">
              <w:rPr>
                <w:rFonts w:ascii="Tw Cen MT" w:hAnsi="Tw Cen MT"/>
              </w:rPr>
              <w:t>Immediately after rollout phase</w:t>
            </w:r>
          </w:p>
        </w:tc>
        <w:tc>
          <w:tcPr>
            <w:tcW w:w="1980" w:type="dxa"/>
            <w:vAlign w:val="center"/>
          </w:tcPr>
          <w:p w14:paraId="01983E69" w14:textId="77777777" w:rsidR="000F7BA4" w:rsidRPr="00281EF6" w:rsidRDefault="000F7BA4" w:rsidP="00D74F67">
            <w:pPr>
              <w:jc w:val="center"/>
              <w:rPr>
                <w:rFonts w:ascii="Tw Cen MT" w:hAnsi="Tw Cen MT"/>
              </w:rPr>
            </w:pPr>
            <w:r w:rsidRPr="00281EF6">
              <w:rPr>
                <w:rFonts w:ascii="Tw Cen MT" w:hAnsi="Tw Cen MT"/>
              </w:rPr>
              <w:t>1 week</w:t>
            </w:r>
          </w:p>
        </w:tc>
      </w:tr>
    </w:tbl>
    <w:p w14:paraId="14FCA98B" w14:textId="77777777" w:rsidR="000F7BA4" w:rsidRPr="00B8096A" w:rsidRDefault="000F7BA4" w:rsidP="000F7BA4">
      <w:pPr>
        <w:jc w:val="both"/>
        <w:rPr>
          <w:rFonts w:ascii="Tw Cen MT" w:hAnsi="Tw Cen MT"/>
        </w:rPr>
      </w:pPr>
    </w:p>
    <w:p w14:paraId="37D67CDC" w14:textId="77777777" w:rsidR="000F7BA4" w:rsidRPr="00DB7C6F" w:rsidRDefault="000F7BA4" w:rsidP="00B8096A">
      <w:pPr>
        <w:jc w:val="both"/>
        <w:rPr>
          <w:rFonts w:ascii="Tw Cen MT" w:hAnsi="Tw Cen MT"/>
          <w:color w:val="000000" w:themeColor="text1"/>
        </w:rPr>
      </w:pPr>
    </w:p>
    <w:sectPr w:rsidR="000F7BA4" w:rsidRPr="00DB7C6F" w:rsidSect="00203F36">
      <w:headerReference w:type="default" r:id="rId21"/>
      <w:footerReference w:type="default" r:id="rId22"/>
      <w:pgSz w:w="11900" w:h="16840"/>
      <w:pgMar w:top="929" w:right="1120"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A146" w14:textId="77777777" w:rsidR="000C1675" w:rsidRDefault="000C1675" w:rsidP="006C6D55">
      <w:r>
        <w:separator/>
      </w:r>
    </w:p>
  </w:endnote>
  <w:endnote w:type="continuationSeparator" w:id="0">
    <w:p w14:paraId="7F096FED" w14:textId="77777777" w:rsidR="000C1675" w:rsidRDefault="000C1675" w:rsidP="006C6D55">
      <w:r>
        <w:continuationSeparator/>
      </w:r>
    </w:p>
  </w:endnote>
  <w:endnote w:type="continuationNotice" w:id="1">
    <w:p w14:paraId="37DBFD94" w14:textId="77777777" w:rsidR="000C1675" w:rsidRDefault="000C1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2C21" w14:textId="77777777" w:rsidR="0003035B" w:rsidRDefault="0003035B" w:rsidP="00FD4A16">
    <w:pPr>
      <w:pStyle w:val="Pieddepage"/>
      <w:rPr>
        <w:rFonts w:ascii="Tw Cen MT" w:eastAsia="Calibri" w:hAnsi="Tw Cen MT"/>
        <w:sz w:val="16"/>
        <w:szCs w:val="22"/>
        <w:lang w:eastAsia="en-US"/>
      </w:rPr>
    </w:pPr>
  </w:p>
  <w:p w14:paraId="0410A3F1" w14:textId="77777777" w:rsidR="0003035B" w:rsidRDefault="0003035B" w:rsidP="008F3D8B">
    <w:pPr>
      <w:pStyle w:val="Pieddepage"/>
      <w:rPr>
        <w:rFonts w:ascii="Tw Cen MT" w:hAnsi="Tw Cen MT"/>
        <w:sz w:val="16"/>
        <w:lang w:val="fr-FR"/>
      </w:rPr>
    </w:pPr>
    <w:proofErr w:type="spellStart"/>
    <w:r w:rsidRPr="00216798">
      <w:rPr>
        <w:rFonts w:ascii="Tw Cen MT" w:hAnsi="Tw Cen MT"/>
        <w:sz w:val="16"/>
        <w:lang w:val="fr-FR"/>
      </w:rPr>
      <w:t>TdR_marché</w:t>
    </w:r>
    <w:proofErr w:type="spellEnd"/>
    <w:r w:rsidRPr="00216798">
      <w:rPr>
        <w:rFonts w:ascii="Tw Cen MT" w:hAnsi="Tw Cen MT"/>
        <w:sz w:val="16"/>
        <w:lang w:val="fr-FR"/>
      </w:rPr>
      <w:t xml:space="preserve"> </w:t>
    </w:r>
    <w:proofErr w:type="spellStart"/>
    <w:r w:rsidRPr="00216798">
      <w:rPr>
        <w:rFonts w:ascii="Tw Cen MT" w:hAnsi="Tw Cen MT"/>
        <w:sz w:val="16"/>
        <w:lang w:val="fr-FR"/>
      </w:rPr>
      <w:t>n°xxxx</w:t>
    </w:r>
    <w:proofErr w:type="spellEnd"/>
    <w:r w:rsidRPr="00216798">
      <w:rPr>
        <w:rFonts w:ascii="Tw Cen MT" w:hAnsi="Tw Cen MT"/>
        <w:sz w:val="16"/>
        <w:lang w:val="fr-FR"/>
      </w:rPr>
      <w:t xml:space="preserve">  </w:t>
    </w:r>
  </w:p>
  <w:p w14:paraId="0D6DFFA3" w14:textId="409EEDE2" w:rsidR="0003035B" w:rsidRPr="00216798" w:rsidRDefault="0003035B" w:rsidP="008F3D8B">
    <w:pPr>
      <w:pStyle w:val="Pieddepage"/>
      <w:rPr>
        <w:lang w:val="fr-FR"/>
      </w:rPr>
    </w:pPr>
    <w:r>
      <w:rPr>
        <w:rFonts w:ascii="Tw Cen MT" w:hAnsi="Tw Cen MT"/>
        <w:sz w:val="16"/>
        <w:lang w:val="fr-FR"/>
      </w:rPr>
      <w:t>Gec-M0096-a v2.3 du 27/01/2022</w:t>
    </w:r>
    <w:r w:rsidRPr="00216798">
      <w:rPr>
        <w:rFonts w:ascii="Tw Cen MT" w:hAnsi="Tw Cen MT"/>
        <w:sz w:val="16"/>
        <w:lang w:val="fr-FR"/>
      </w:rPr>
      <w:tab/>
      <w:t xml:space="preserve">     </w:t>
    </w:r>
    <w:r w:rsidRPr="00216798">
      <w:rPr>
        <w:rFonts w:ascii="Tw Cen MT" w:hAnsi="Tw Cen MT"/>
        <w:sz w:val="16"/>
        <w:lang w:val="fr-FR"/>
      </w:rPr>
      <w:tab/>
    </w:r>
    <w:r w:rsidRPr="00216798">
      <w:rPr>
        <w:rFonts w:ascii="Tw Cen MT" w:hAnsi="Tw Cen MT"/>
        <w:sz w:val="18"/>
        <w:lang w:val="fr-FR"/>
      </w:rPr>
      <w:t xml:space="preserve">Page </w:t>
    </w:r>
    <w:r w:rsidRPr="00B8096A">
      <w:rPr>
        <w:rFonts w:ascii="Tw Cen MT" w:eastAsiaTheme="majorEastAsia" w:hAnsi="Tw Cen MT" w:cstheme="majorBidi"/>
        <w:sz w:val="18"/>
      </w:rPr>
      <w:fldChar w:fldCharType="begin"/>
    </w:r>
    <w:r w:rsidRPr="00216798">
      <w:rPr>
        <w:rFonts w:ascii="Tw Cen MT" w:eastAsiaTheme="majorEastAsia" w:hAnsi="Tw Cen MT" w:cstheme="majorBidi"/>
        <w:sz w:val="18"/>
        <w:lang w:val="fr-FR"/>
      </w:rPr>
      <w:instrText>PAGE  \* Arabic  \* MERGEFORMAT</w:instrText>
    </w:r>
    <w:r w:rsidRPr="00B8096A">
      <w:rPr>
        <w:rFonts w:ascii="Tw Cen MT" w:eastAsiaTheme="majorEastAsia" w:hAnsi="Tw Cen MT" w:cstheme="majorBidi"/>
        <w:sz w:val="18"/>
      </w:rPr>
      <w:fldChar w:fldCharType="separate"/>
    </w:r>
    <w:r w:rsidR="00EE3B54">
      <w:rPr>
        <w:rFonts w:ascii="Tw Cen MT" w:eastAsiaTheme="majorEastAsia" w:hAnsi="Tw Cen MT" w:cstheme="majorBidi"/>
        <w:noProof/>
        <w:sz w:val="18"/>
        <w:lang w:val="fr-FR"/>
      </w:rPr>
      <w:t>12</w:t>
    </w:r>
    <w:r w:rsidRPr="00B8096A">
      <w:rPr>
        <w:rFonts w:ascii="Tw Cen MT" w:eastAsiaTheme="majorEastAsia" w:hAnsi="Tw Cen MT" w:cstheme="majorBidi"/>
        <w:sz w:val="18"/>
      </w:rPr>
      <w:fldChar w:fldCharType="end"/>
    </w:r>
    <w:r w:rsidRPr="00216798">
      <w:rPr>
        <w:rFonts w:ascii="Tw Cen MT" w:hAnsi="Tw Cen MT"/>
        <w:sz w:val="18"/>
        <w:lang w:val="fr-FR"/>
      </w:rPr>
      <w:t xml:space="preserve"> of </w:t>
    </w:r>
    <w:r w:rsidRPr="00B8096A">
      <w:rPr>
        <w:rFonts w:ascii="Tw Cen MT" w:eastAsiaTheme="majorEastAsia" w:hAnsi="Tw Cen MT" w:cstheme="majorBidi"/>
        <w:sz w:val="18"/>
      </w:rPr>
      <w:fldChar w:fldCharType="begin"/>
    </w:r>
    <w:r w:rsidRPr="00216798">
      <w:rPr>
        <w:rFonts w:ascii="Tw Cen MT" w:eastAsiaTheme="majorEastAsia" w:hAnsi="Tw Cen MT" w:cstheme="majorBidi"/>
        <w:sz w:val="18"/>
        <w:lang w:val="fr-FR"/>
      </w:rPr>
      <w:instrText>NUMPAGES  \* Arabic  \* MERGEFORMAT</w:instrText>
    </w:r>
    <w:r w:rsidRPr="00B8096A">
      <w:rPr>
        <w:rFonts w:ascii="Tw Cen MT" w:eastAsiaTheme="majorEastAsia" w:hAnsi="Tw Cen MT" w:cstheme="majorBidi"/>
        <w:sz w:val="18"/>
      </w:rPr>
      <w:fldChar w:fldCharType="separate"/>
    </w:r>
    <w:r w:rsidR="00EE3B54">
      <w:rPr>
        <w:rFonts w:ascii="Tw Cen MT" w:eastAsiaTheme="majorEastAsia" w:hAnsi="Tw Cen MT" w:cstheme="majorBidi"/>
        <w:noProof/>
        <w:sz w:val="18"/>
        <w:lang w:val="fr-FR"/>
      </w:rPr>
      <w:t>12</w:t>
    </w:r>
    <w:r w:rsidRPr="00B8096A">
      <w:rPr>
        <w:rFonts w:ascii="Tw Cen MT" w:eastAsiaTheme="majorEastAsia" w:hAnsi="Tw Cen MT" w:cstheme="majorBid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17D17" w14:textId="77777777" w:rsidR="000C1675" w:rsidRDefault="000C1675" w:rsidP="006C6D55">
      <w:r>
        <w:separator/>
      </w:r>
    </w:p>
  </w:footnote>
  <w:footnote w:type="continuationSeparator" w:id="0">
    <w:p w14:paraId="2AE76AF6" w14:textId="77777777" w:rsidR="000C1675" w:rsidRDefault="000C1675" w:rsidP="006C6D55">
      <w:r>
        <w:continuationSeparator/>
      </w:r>
    </w:p>
  </w:footnote>
  <w:footnote w:type="continuationNotice" w:id="1">
    <w:p w14:paraId="7A768C9D" w14:textId="77777777" w:rsidR="000C1675" w:rsidRDefault="000C16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0EDA" w14:textId="77777777" w:rsidR="0003035B" w:rsidRDefault="00AF7002" w:rsidP="00AF7002">
    <w:pPr>
      <w:pStyle w:val="En-tte"/>
      <w:jc w:val="center"/>
    </w:pPr>
    <w:r>
      <w:rPr>
        <w:noProof/>
        <w:lang w:val="fr-FR"/>
      </w:rPr>
      <w:drawing>
        <wp:anchor distT="0" distB="0" distL="114300" distR="114300" simplePos="0" relativeHeight="251658240" behindDoc="0" locked="0" layoutInCell="1" allowOverlap="1" wp14:anchorId="0FFAC508" wp14:editId="22657416">
          <wp:simplePos x="0" y="0"/>
          <wp:positionH relativeFrom="margin">
            <wp:align>center</wp:align>
          </wp:positionH>
          <wp:positionV relativeFrom="paragraph">
            <wp:posOffset>-605790</wp:posOffset>
          </wp:positionV>
          <wp:extent cx="1695450" cy="866140"/>
          <wp:effectExtent l="0" t="0" r="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5450" cy="8661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1F6"/>
    <w:multiLevelType w:val="hybridMultilevel"/>
    <w:tmpl w:val="686219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A0923D9"/>
    <w:multiLevelType w:val="hybridMultilevel"/>
    <w:tmpl w:val="0004E3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4951FD"/>
    <w:multiLevelType w:val="multilevel"/>
    <w:tmpl w:val="1A8CC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B0133"/>
    <w:multiLevelType w:val="multilevel"/>
    <w:tmpl w:val="4F9C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9034B"/>
    <w:multiLevelType w:val="hybridMultilevel"/>
    <w:tmpl w:val="4F34FDD8"/>
    <w:lvl w:ilvl="0" w:tplc="B92E945E">
      <w:start w:val="101"/>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60569B"/>
    <w:multiLevelType w:val="hybridMultilevel"/>
    <w:tmpl w:val="5B148690"/>
    <w:lvl w:ilvl="0" w:tplc="EC924C6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C44253"/>
    <w:multiLevelType w:val="hybridMultilevel"/>
    <w:tmpl w:val="507AD334"/>
    <w:lvl w:ilvl="0" w:tplc="040C000D">
      <w:start w:val="1"/>
      <w:numFmt w:val="bullet"/>
      <w:lvlText w:val=""/>
      <w:lvlJc w:val="left"/>
      <w:pPr>
        <w:ind w:left="1502" w:hanging="360"/>
      </w:pPr>
      <w:rPr>
        <w:rFonts w:ascii="Wingdings" w:hAnsi="Wingdings" w:hint="default"/>
      </w:rPr>
    </w:lvl>
    <w:lvl w:ilvl="1" w:tplc="040C0003" w:tentative="1">
      <w:start w:val="1"/>
      <w:numFmt w:val="bullet"/>
      <w:lvlText w:val="o"/>
      <w:lvlJc w:val="left"/>
      <w:pPr>
        <w:ind w:left="2222" w:hanging="360"/>
      </w:pPr>
      <w:rPr>
        <w:rFonts w:ascii="Courier New" w:hAnsi="Courier New" w:cs="Courier New" w:hint="default"/>
      </w:rPr>
    </w:lvl>
    <w:lvl w:ilvl="2" w:tplc="040C0005" w:tentative="1">
      <w:start w:val="1"/>
      <w:numFmt w:val="bullet"/>
      <w:lvlText w:val=""/>
      <w:lvlJc w:val="left"/>
      <w:pPr>
        <w:ind w:left="2942" w:hanging="360"/>
      </w:pPr>
      <w:rPr>
        <w:rFonts w:ascii="Wingdings" w:hAnsi="Wingdings" w:hint="default"/>
      </w:rPr>
    </w:lvl>
    <w:lvl w:ilvl="3" w:tplc="040C0001" w:tentative="1">
      <w:start w:val="1"/>
      <w:numFmt w:val="bullet"/>
      <w:lvlText w:val=""/>
      <w:lvlJc w:val="left"/>
      <w:pPr>
        <w:ind w:left="3662" w:hanging="360"/>
      </w:pPr>
      <w:rPr>
        <w:rFonts w:ascii="Symbol" w:hAnsi="Symbol" w:hint="default"/>
      </w:rPr>
    </w:lvl>
    <w:lvl w:ilvl="4" w:tplc="040C0003" w:tentative="1">
      <w:start w:val="1"/>
      <w:numFmt w:val="bullet"/>
      <w:lvlText w:val="o"/>
      <w:lvlJc w:val="left"/>
      <w:pPr>
        <w:ind w:left="4382" w:hanging="360"/>
      </w:pPr>
      <w:rPr>
        <w:rFonts w:ascii="Courier New" w:hAnsi="Courier New" w:cs="Courier New" w:hint="default"/>
      </w:rPr>
    </w:lvl>
    <w:lvl w:ilvl="5" w:tplc="040C0005" w:tentative="1">
      <w:start w:val="1"/>
      <w:numFmt w:val="bullet"/>
      <w:lvlText w:val=""/>
      <w:lvlJc w:val="left"/>
      <w:pPr>
        <w:ind w:left="5102" w:hanging="360"/>
      </w:pPr>
      <w:rPr>
        <w:rFonts w:ascii="Wingdings" w:hAnsi="Wingdings" w:hint="default"/>
      </w:rPr>
    </w:lvl>
    <w:lvl w:ilvl="6" w:tplc="040C0001" w:tentative="1">
      <w:start w:val="1"/>
      <w:numFmt w:val="bullet"/>
      <w:lvlText w:val=""/>
      <w:lvlJc w:val="left"/>
      <w:pPr>
        <w:ind w:left="5822" w:hanging="360"/>
      </w:pPr>
      <w:rPr>
        <w:rFonts w:ascii="Symbol" w:hAnsi="Symbol" w:hint="default"/>
      </w:rPr>
    </w:lvl>
    <w:lvl w:ilvl="7" w:tplc="040C0003" w:tentative="1">
      <w:start w:val="1"/>
      <w:numFmt w:val="bullet"/>
      <w:lvlText w:val="o"/>
      <w:lvlJc w:val="left"/>
      <w:pPr>
        <w:ind w:left="6542" w:hanging="360"/>
      </w:pPr>
      <w:rPr>
        <w:rFonts w:ascii="Courier New" w:hAnsi="Courier New" w:cs="Courier New" w:hint="default"/>
      </w:rPr>
    </w:lvl>
    <w:lvl w:ilvl="8" w:tplc="040C0005" w:tentative="1">
      <w:start w:val="1"/>
      <w:numFmt w:val="bullet"/>
      <w:lvlText w:val=""/>
      <w:lvlJc w:val="left"/>
      <w:pPr>
        <w:ind w:left="7262" w:hanging="360"/>
      </w:pPr>
      <w:rPr>
        <w:rFonts w:ascii="Wingdings" w:hAnsi="Wingdings" w:hint="default"/>
      </w:rPr>
    </w:lvl>
  </w:abstractNum>
  <w:abstractNum w:abstractNumId="7" w15:restartNumberingAfterBreak="0">
    <w:nsid w:val="11A62E72"/>
    <w:multiLevelType w:val="hybridMultilevel"/>
    <w:tmpl w:val="D68666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9313AF"/>
    <w:multiLevelType w:val="hybridMultilevel"/>
    <w:tmpl w:val="DA766E50"/>
    <w:lvl w:ilvl="0" w:tplc="480C78EE">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B054A8"/>
    <w:multiLevelType w:val="multilevel"/>
    <w:tmpl w:val="070E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7C2B22"/>
    <w:multiLevelType w:val="multilevel"/>
    <w:tmpl w:val="C81A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203396"/>
    <w:multiLevelType w:val="multilevel"/>
    <w:tmpl w:val="13BECEF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1CD134D4"/>
    <w:multiLevelType w:val="hybridMultilevel"/>
    <w:tmpl w:val="F09E89B2"/>
    <w:lvl w:ilvl="0" w:tplc="040C0001">
      <w:start w:val="1"/>
      <w:numFmt w:val="bullet"/>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3" w15:restartNumberingAfterBreak="0">
    <w:nsid w:val="1DC55825"/>
    <w:multiLevelType w:val="multilevel"/>
    <w:tmpl w:val="A7DE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5538B2"/>
    <w:multiLevelType w:val="hybridMultilevel"/>
    <w:tmpl w:val="A41EA9EC"/>
    <w:lvl w:ilvl="0" w:tplc="040C0005">
      <w:start w:val="1"/>
      <w:numFmt w:val="bullet"/>
      <w:lvlText w:val=""/>
      <w:lvlJc w:val="left"/>
      <w:pPr>
        <w:ind w:left="784" w:hanging="360"/>
      </w:pPr>
      <w:rPr>
        <w:rFonts w:ascii="Wingdings" w:hAnsi="Wingdings"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5" w15:restartNumberingAfterBreak="0">
    <w:nsid w:val="21F61BC1"/>
    <w:multiLevelType w:val="hybridMultilevel"/>
    <w:tmpl w:val="462457DA"/>
    <w:lvl w:ilvl="0" w:tplc="6E1CB51A">
      <w:start w:val="1"/>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4CE3F19"/>
    <w:multiLevelType w:val="hybridMultilevel"/>
    <w:tmpl w:val="41AE3DC6"/>
    <w:lvl w:ilvl="0" w:tplc="EC924C6A">
      <w:start w:val="1"/>
      <w:numFmt w:val="bullet"/>
      <w:lvlText w:val=""/>
      <w:lvlJc w:val="left"/>
      <w:pPr>
        <w:ind w:left="720" w:hanging="360"/>
      </w:pPr>
      <w:rPr>
        <w:rFonts w:ascii="Symbol" w:hAnsi="Symbol" w:hint="default"/>
        <w:color w:val="auto"/>
      </w:rPr>
    </w:lvl>
    <w:lvl w:ilvl="1" w:tplc="191A6C9A">
      <w:start w:val="5"/>
      <w:numFmt w:val="bullet"/>
      <w:lvlText w:val="-"/>
      <w:lvlJc w:val="left"/>
      <w:pPr>
        <w:ind w:left="1440" w:hanging="360"/>
      </w:pPr>
      <w:rPr>
        <w:rFonts w:ascii="Times New Roman" w:eastAsiaTheme="minorEastAsia"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F42799"/>
    <w:multiLevelType w:val="multilevel"/>
    <w:tmpl w:val="C1A0C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D30B19"/>
    <w:multiLevelType w:val="hybridMultilevel"/>
    <w:tmpl w:val="92CAC6A0"/>
    <w:lvl w:ilvl="0" w:tplc="1248B01C">
      <w:numFmt w:val="bullet"/>
      <w:lvlText w:val="-"/>
      <w:lvlJc w:val="left"/>
      <w:pPr>
        <w:ind w:left="720" w:hanging="360"/>
      </w:pPr>
      <w:rPr>
        <w:rFonts w:ascii="Tw Cen MT" w:eastAsia="Times New Roman" w:hAnsi="Tw Cen M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0F6303"/>
    <w:multiLevelType w:val="hybridMultilevel"/>
    <w:tmpl w:val="C25829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1B934A7"/>
    <w:multiLevelType w:val="hybridMultilevel"/>
    <w:tmpl w:val="623AB8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72C5BCB"/>
    <w:multiLevelType w:val="hybridMultilevel"/>
    <w:tmpl w:val="2B42063C"/>
    <w:lvl w:ilvl="0" w:tplc="DDC678C2">
      <w:start w:val="1"/>
      <w:numFmt w:val="bullet"/>
      <w:lvlText w:val="-"/>
      <w:lvlJc w:val="left"/>
      <w:pPr>
        <w:ind w:left="650" w:hanging="360"/>
      </w:pPr>
      <w:rPr>
        <w:rFonts w:ascii="Tw Cen MT" w:eastAsia="Times New Roman" w:hAnsi="Tw Cen MT" w:cs="Times New Roman" w:hint="default"/>
      </w:rPr>
    </w:lvl>
    <w:lvl w:ilvl="1" w:tplc="040C0003" w:tentative="1">
      <w:start w:val="1"/>
      <w:numFmt w:val="bullet"/>
      <w:lvlText w:val="o"/>
      <w:lvlJc w:val="left"/>
      <w:pPr>
        <w:ind w:left="1370" w:hanging="360"/>
      </w:pPr>
      <w:rPr>
        <w:rFonts w:ascii="Courier New" w:hAnsi="Courier New" w:cs="Courier New" w:hint="default"/>
      </w:rPr>
    </w:lvl>
    <w:lvl w:ilvl="2" w:tplc="040C0005" w:tentative="1">
      <w:start w:val="1"/>
      <w:numFmt w:val="bullet"/>
      <w:lvlText w:val=""/>
      <w:lvlJc w:val="left"/>
      <w:pPr>
        <w:ind w:left="2090" w:hanging="360"/>
      </w:pPr>
      <w:rPr>
        <w:rFonts w:ascii="Wingdings" w:hAnsi="Wingdings" w:hint="default"/>
      </w:rPr>
    </w:lvl>
    <w:lvl w:ilvl="3" w:tplc="040C0001" w:tentative="1">
      <w:start w:val="1"/>
      <w:numFmt w:val="bullet"/>
      <w:lvlText w:val=""/>
      <w:lvlJc w:val="left"/>
      <w:pPr>
        <w:ind w:left="2810" w:hanging="360"/>
      </w:pPr>
      <w:rPr>
        <w:rFonts w:ascii="Symbol" w:hAnsi="Symbol" w:hint="default"/>
      </w:rPr>
    </w:lvl>
    <w:lvl w:ilvl="4" w:tplc="040C0003" w:tentative="1">
      <w:start w:val="1"/>
      <w:numFmt w:val="bullet"/>
      <w:lvlText w:val="o"/>
      <w:lvlJc w:val="left"/>
      <w:pPr>
        <w:ind w:left="3530" w:hanging="360"/>
      </w:pPr>
      <w:rPr>
        <w:rFonts w:ascii="Courier New" w:hAnsi="Courier New" w:cs="Courier New" w:hint="default"/>
      </w:rPr>
    </w:lvl>
    <w:lvl w:ilvl="5" w:tplc="040C0005" w:tentative="1">
      <w:start w:val="1"/>
      <w:numFmt w:val="bullet"/>
      <w:lvlText w:val=""/>
      <w:lvlJc w:val="left"/>
      <w:pPr>
        <w:ind w:left="4250" w:hanging="360"/>
      </w:pPr>
      <w:rPr>
        <w:rFonts w:ascii="Wingdings" w:hAnsi="Wingdings" w:hint="default"/>
      </w:rPr>
    </w:lvl>
    <w:lvl w:ilvl="6" w:tplc="040C0001" w:tentative="1">
      <w:start w:val="1"/>
      <w:numFmt w:val="bullet"/>
      <w:lvlText w:val=""/>
      <w:lvlJc w:val="left"/>
      <w:pPr>
        <w:ind w:left="4970" w:hanging="360"/>
      </w:pPr>
      <w:rPr>
        <w:rFonts w:ascii="Symbol" w:hAnsi="Symbol" w:hint="default"/>
      </w:rPr>
    </w:lvl>
    <w:lvl w:ilvl="7" w:tplc="040C0003" w:tentative="1">
      <w:start w:val="1"/>
      <w:numFmt w:val="bullet"/>
      <w:lvlText w:val="o"/>
      <w:lvlJc w:val="left"/>
      <w:pPr>
        <w:ind w:left="5690" w:hanging="360"/>
      </w:pPr>
      <w:rPr>
        <w:rFonts w:ascii="Courier New" w:hAnsi="Courier New" w:cs="Courier New" w:hint="default"/>
      </w:rPr>
    </w:lvl>
    <w:lvl w:ilvl="8" w:tplc="040C0005" w:tentative="1">
      <w:start w:val="1"/>
      <w:numFmt w:val="bullet"/>
      <w:lvlText w:val=""/>
      <w:lvlJc w:val="left"/>
      <w:pPr>
        <w:ind w:left="6410" w:hanging="360"/>
      </w:pPr>
      <w:rPr>
        <w:rFonts w:ascii="Wingdings" w:hAnsi="Wingdings" w:hint="default"/>
      </w:rPr>
    </w:lvl>
  </w:abstractNum>
  <w:abstractNum w:abstractNumId="22" w15:restartNumberingAfterBreak="0">
    <w:nsid w:val="378707E2"/>
    <w:multiLevelType w:val="multilevel"/>
    <w:tmpl w:val="5634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B52520"/>
    <w:multiLevelType w:val="hybridMultilevel"/>
    <w:tmpl w:val="2D1E51D2"/>
    <w:lvl w:ilvl="0" w:tplc="4BCAF0EC">
      <w:start w:val="2"/>
      <w:numFmt w:val="bullet"/>
      <w:lvlText w:val="-"/>
      <w:lvlJc w:val="left"/>
      <w:pPr>
        <w:ind w:left="720" w:hanging="360"/>
      </w:pPr>
      <w:rPr>
        <w:rFonts w:ascii="Tw Cen MT" w:eastAsia="Times New Roman" w:hAnsi="Tw Cen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725FA8"/>
    <w:multiLevelType w:val="hybridMultilevel"/>
    <w:tmpl w:val="F0CEB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B12733F"/>
    <w:multiLevelType w:val="hybridMultilevel"/>
    <w:tmpl w:val="1916DB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3FC52AE3"/>
    <w:multiLevelType w:val="multilevel"/>
    <w:tmpl w:val="B6240890"/>
    <w:lvl w:ilvl="0">
      <w:start w:val="1"/>
      <w:numFmt w:val="decimal"/>
      <w:pStyle w:val="Titre1"/>
      <w:lvlText w:val="ARTICLE %1."/>
      <w:lvlJc w:val="left"/>
      <w:pPr>
        <w:ind w:left="360" w:hanging="360"/>
      </w:pPr>
      <w:rPr>
        <w:rFonts w:ascii="Tw Cen MT" w:hAnsi="Tw Cen MT"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isLgl/>
      <w:lvlText w:val="%1.%2"/>
      <w:lvlJc w:val="left"/>
      <w:pPr>
        <w:tabs>
          <w:tab w:val="num" w:pos="928"/>
        </w:tabs>
        <w:ind w:left="928" w:hanging="360"/>
      </w:pPr>
      <w:rPr>
        <w:rFonts w:cs="Times New Roman" w:hint="default"/>
      </w:rPr>
    </w:lvl>
    <w:lvl w:ilvl="2">
      <w:start w:val="1"/>
      <w:numFmt w:val="none"/>
      <w:pStyle w:val="Titre3"/>
      <w:isLgl/>
      <w:lvlText w:val=""/>
      <w:lvlJc w:val="left"/>
      <w:pPr>
        <w:tabs>
          <w:tab w:val="num" w:pos="1496"/>
        </w:tabs>
        <w:ind w:left="1496" w:hanging="720"/>
      </w:pPr>
      <w:rPr>
        <w:rFonts w:cs="Times New Roman" w:hint="default"/>
      </w:rPr>
    </w:lvl>
    <w:lvl w:ilvl="3">
      <w:start w:val="1"/>
      <w:numFmt w:val="decimal"/>
      <w:isLgl/>
      <w:lvlText w:val="%1.%2.%3.%4"/>
      <w:lvlJc w:val="left"/>
      <w:pPr>
        <w:tabs>
          <w:tab w:val="num" w:pos="1704"/>
        </w:tabs>
        <w:ind w:left="1704" w:hanging="720"/>
      </w:pPr>
      <w:rPr>
        <w:rFonts w:cs="Times New Roman" w:hint="default"/>
      </w:rPr>
    </w:lvl>
    <w:lvl w:ilvl="4">
      <w:start w:val="1"/>
      <w:numFmt w:val="decimal"/>
      <w:isLgl/>
      <w:lvlText w:val="%1.%2.%3.%4.%5"/>
      <w:lvlJc w:val="left"/>
      <w:pPr>
        <w:tabs>
          <w:tab w:val="num" w:pos="2272"/>
        </w:tabs>
        <w:ind w:left="2272" w:hanging="1080"/>
      </w:pPr>
      <w:rPr>
        <w:rFonts w:cs="Times New Roman" w:hint="default"/>
      </w:rPr>
    </w:lvl>
    <w:lvl w:ilvl="5">
      <w:start w:val="1"/>
      <w:numFmt w:val="decimal"/>
      <w:isLgl/>
      <w:lvlText w:val="%1.%2.%3.%4.%5.%6"/>
      <w:lvlJc w:val="left"/>
      <w:pPr>
        <w:tabs>
          <w:tab w:val="num" w:pos="2480"/>
        </w:tabs>
        <w:ind w:left="2480" w:hanging="1080"/>
      </w:pPr>
      <w:rPr>
        <w:rFonts w:cs="Times New Roman" w:hint="default"/>
      </w:rPr>
    </w:lvl>
    <w:lvl w:ilvl="6">
      <w:start w:val="1"/>
      <w:numFmt w:val="decimal"/>
      <w:isLgl/>
      <w:lvlText w:val="%1.%2.%3.%4.%5.%6.%7"/>
      <w:lvlJc w:val="left"/>
      <w:pPr>
        <w:tabs>
          <w:tab w:val="num" w:pos="3048"/>
        </w:tabs>
        <w:ind w:left="3048" w:hanging="1440"/>
      </w:pPr>
      <w:rPr>
        <w:rFonts w:cs="Times New Roman" w:hint="default"/>
      </w:rPr>
    </w:lvl>
    <w:lvl w:ilvl="7">
      <w:start w:val="1"/>
      <w:numFmt w:val="decimal"/>
      <w:isLgl/>
      <w:lvlText w:val="%1.%2.%3.%4.%5.%6.%7.%8"/>
      <w:lvlJc w:val="left"/>
      <w:pPr>
        <w:tabs>
          <w:tab w:val="num" w:pos="3256"/>
        </w:tabs>
        <w:ind w:left="3256" w:hanging="1440"/>
      </w:pPr>
      <w:rPr>
        <w:rFonts w:cs="Times New Roman" w:hint="default"/>
      </w:rPr>
    </w:lvl>
    <w:lvl w:ilvl="8">
      <w:start w:val="1"/>
      <w:numFmt w:val="decimal"/>
      <w:isLgl/>
      <w:lvlText w:val="%1.%2.%3.%4.%5.%6.%7.%8.%9"/>
      <w:lvlJc w:val="left"/>
      <w:pPr>
        <w:tabs>
          <w:tab w:val="num" w:pos="3824"/>
        </w:tabs>
        <w:ind w:left="3824" w:hanging="1800"/>
      </w:pPr>
      <w:rPr>
        <w:rFonts w:cs="Times New Roman" w:hint="default"/>
      </w:rPr>
    </w:lvl>
  </w:abstractNum>
  <w:abstractNum w:abstractNumId="27" w15:restartNumberingAfterBreak="0">
    <w:nsid w:val="4533018F"/>
    <w:multiLevelType w:val="multilevel"/>
    <w:tmpl w:val="D12C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CF21DC"/>
    <w:multiLevelType w:val="hybridMultilevel"/>
    <w:tmpl w:val="9A2AD1CA"/>
    <w:lvl w:ilvl="0" w:tplc="EC924C6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120D45"/>
    <w:multiLevelType w:val="hybridMultilevel"/>
    <w:tmpl w:val="815ADF22"/>
    <w:lvl w:ilvl="0" w:tplc="1248B01C">
      <w:numFmt w:val="bullet"/>
      <w:lvlText w:val="-"/>
      <w:lvlJc w:val="left"/>
      <w:pPr>
        <w:ind w:left="720" w:hanging="360"/>
      </w:pPr>
      <w:rPr>
        <w:rFonts w:ascii="Tw Cen MT" w:eastAsia="Times New Roman" w:hAnsi="Tw Cen M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842603C"/>
    <w:multiLevelType w:val="hybridMultilevel"/>
    <w:tmpl w:val="C4103F7A"/>
    <w:lvl w:ilvl="0" w:tplc="69681B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numFmt w:val="bullet"/>
      <w:lvlText w:val="•"/>
      <w:lvlJc w:val="left"/>
      <w:pPr>
        <w:ind w:left="2160" w:hanging="360"/>
      </w:pPr>
      <w:rPr>
        <w:rFonts w:ascii="Arial" w:eastAsia="Times New Roman"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99A4C69"/>
    <w:multiLevelType w:val="hybridMultilevel"/>
    <w:tmpl w:val="0DA6FDB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99C2DE0"/>
    <w:multiLevelType w:val="hybridMultilevel"/>
    <w:tmpl w:val="5AD29C8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613D2B"/>
    <w:multiLevelType w:val="hybridMultilevel"/>
    <w:tmpl w:val="C1C09A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ED74591"/>
    <w:multiLevelType w:val="hybridMultilevel"/>
    <w:tmpl w:val="177AE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71252C"/>
    <w:multiLevelType w:val="hybridMultilevel"/>
    <w:tmpl w:val="6816B1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9820E02"/>
    <w:multiLevelType w:val="hybridMultilevel"/>
    <w:tmpl w:val="DF28C5FE"/>
    <w:lvl w:ilvl="0" w:tplc="60F4062A">
      <w:numFmt w:val="bullet"/>
      <w:lvlText w:val="-"/>
      <w:lvlJc w:val="left"/>
      <w:pPr>
        <w:ind w:left="1080" w:hanging="360"/>
      </w:pPr>
      <w:rPr>
        <w:rFonts w:ascii="Tw Cen MT" w:eastAsia="Calibri" w:hAnsi="Tw Cen MT" w:cs="Times New Roman"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36E34EF"/>
    <w:multiLevelType w:val="hybridMultilevel"/>
    <w:tmpl w:val="E72C144A"/>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AF33E14"/>
    <w:multiLevelType w:val="multilevel"/>
    <w:tmpl w:val="829C1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29176B"/>
    <w:multiLevelType w:val="hybridMultilevel"/>
    <w:tmpl w:val="29621D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AA38A5"/>
    <w:multiLevelType w:val="multilevel"/>
    <w:tmpl w:val="8916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C75BC3"/>
    <w:multiLevelType w:val="hybridMultilevel"/>
    <w:tmpl w:val="05A015C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D8F2C2D"/>
    <w:multiLevelType w:val="hybridMultilevel"/>
    <w:tmpl w:val="D53E6A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CD50AC"/>
    <w:multiLevelType w:val="hybridMultilevel"/>
    <w:tmpl w:val="2CF05A7C"/>
    <w:lvl w:ilvl="0" w:tplc="ABC2DC32">
      <w:numFmt w:val="bullet"/>
      <w:lvlText w:val="-"/>
      <w:lvlJc w:val="left"/>
      <w:pPr>
        <w:ind w:left="720" w:hanging="360"/>
      </w:pPr>
      <w:rPr>
        <w:rFonts w:ascii="Tw Cen MT" w:eastAsia="Times New Roman" w:hAnsi="Tw Cen MT"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8218016">
    <w:abstractNumId w:val="26"/>
  </w:num>
  <w:num w:numId="2" w16cid:durableId="801339129">
    <w:abstractNumId w:val="32"/>
  </w:num>
  <w:num w:numId="3" w16cid:durableId="1030884337">
    <w:abstractNumId w:val="43"/>
  </w:num>
  <w:num w:numId="4" w16cid:durableId="2094669179">
    <w:abstractNumId w:val="21"/>
  </w:num>
  <w:num w:numId="5" w16cid:durableId="1895120503">
    <w:abstractNumId w:val="15"/>
  </w:num>
  <w:num w:numId="6" w16cid:durableId="1561090502">
    <w:abstractNumId w:val="39"/>
  </w:num>
  <w:num w:numId="7" w16cid:durableId="1220437329">
    <w:abstractNumId w:val="34"/>
  </w:num>
  <w:num w:numId="8" w16cid:durableId="858540964">
    <w:abstractNumId w:val="33"/>
  </w:num>
  <w:num w:numId="9" w16cid:durableId="379017784">
    <w:abstractNumId w:val="14"/>
  </w:num>
  <w:num w:numId="10" w16cid:durableId="968128945">
    <w:abstractNumId w:val="1"/>
  </w:num>
  <w:num w:numId="11" w16cid:durableId="840853887">
    <w:abstractNumId w:val="19"/>
  </w:num>
  <w:num w:numId="12" w16cid:durableId="751507838">
    <w:abstractNumId w:val="42"/>
  </w:num>
  <w:num w:numId="13" w16cid:durableId="31075867">
    <w:abstractNumId w:val="20"/>
  </w:num>
  <w:num w:numId="14" w16cid:durableId="730733232">
    <w:abstractNumId w:val="35"/>
  </w:num>
  <w:num w:numId="15" w16cid:durableId="109712323">
    <w:abstractNumId w:val="25"/>
  </w:num>
  <w:num w:numId="16" w16cid:durableId="1807625741">
    <w:abstractNumId w:val="37"/>
  </w:num>
  <w:num w:numId="17" w16cid:durableId="1403257704">
    <w:abstractNumId w:val="41"/>
  </w:num>
  <w:num w:numId="18" w16cid:durableId="887450637">
    <w:abstractNumId w:val="11"/>
  </w:num>
  <w:num w:numId="19" w16cid:durableId="44455128">
    <w:abstractNumId w:val="28"/>
  </w:num>
  <w:num w:numId="20" w16cid:durableId="461731422">
    <w:abstractNumId w:val="7"/>
  </w:num>
  <w:num w:numId="21" w16cid:durableId="1094789790">
    <w:abstractNumId w:val="5"/>
  </w:num>
  <w:num w:numId="22" w16cid:durableId="1605335734">
    <w:abstractNumId w:val="16"/>
  </w:num>
  <w:num w:numId="23" w16cid:durableId="279072571">
    <w:abstractNumId w:val="24"/>
  </w:num>
  <w:num w:numId="24" w16cid:durableId="951208288">
    <w:abstractNumId w:val="30"/>
  </w:num>
  <w:num w:numId="25" w16cid:durableId="94522675">
    <w:abstractNumId w:val="13"/>
  </w:num>
  <w:num w:numId="26" w16cid:durableId="205919099">
    <w:abstractNumId w:val="27"/>
  </w:num>
  <w:num w:numId="27" w16cid:durableId="1824809261">
    <w:abstractNumId w:val="8"/>
  </w:num>
  <w:num w:numId="28" w16cid:durableId="557935112">
    <w:abstractNumId w:val="40"/>
  </w:num>
  <w:num w:numId="29" w16cid:durableId="766773636">
    <w:abstractNumId w:val="3"/>
  </w:num>
  <w:num w:numId="30" w16cid:durableId="1261642754">
    <w:abstractNumId w:val="22"/>
  </w:num>
  <w:num w:numId="31" w16cid:durableId="1099564972">
    <w:abstractNumId w:val="2"/>
  </w:num>
  <w:num w:numId="32" w16cid:durableId="772676652">
    <w:abstractNumId w:val="38"/>
  </w:num>
  <w:num w:numId="33" w16cid:durableId="1728721258">
    <w:abstractNumId w:val="36"/>
  </w:num>
  <w:num w:numId="34" w16cid:durableId="484665827">
    <w:abstractNumId w:val="9"/>
  </w:num>
  <w:num w:numId="35" w16cid:durableId="482820415">
    <w:abstractNumId w:val="17"/>
  </w:num>
  <w:num w:numId="36" w16cid:durableId="700714294">
    <w:abstractNumId w:val="4"/>
  </w:num>
  <w:num w:numId="37" w16cid:durableId="1221942607">
    <w:abstractNumId w:val="12"/>
  </w:num>
  <w:num w:numId="38" w16cid:durableId="15354627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113023">
    <w:abstractNumId w:val="26"/>
  </w:num>
  <w:num w:numId="40" w16cid:durableId="14142828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81317558">
    <w:abstractNumId w:val="26"/>
  </w:num>
  <w:num w:numId="42" w16cid:durableId="468982311">
    <w:abstractNumId w:val="0"/>
  </w:num>
  <w:num w:numId="43" w16cid:durableId="1355226125">
    <w:abstractNumId w:val="6"/>
  </w:num>
  <w:num w:numId="44" w16cid:durableId="1352537053">
    <w:abstractNumId w:val="31"/>
  </w:num>
  <w:num w:numId="45" w16cid:durableId="912860169">
    <w:abstractNumId w:val="23"/>
  </w:num>
  <w:num w:numId="46" w16cid:durableId="853879655">
    <w:abstractNumId w:val="10"/>
  </w:num>
  <w:num w:numId="47" w16cid:durableId="1574926465">
    <w:abstractNumId w:val="18"/>
  </w:num>
  <w:num w:numId="48" w16cid:durableId="181552089">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3AC"/>
    <w:rsid w:val="00002853"/>
    <w:rsid w:val="00003A01"/>
    <w:rsid w:val="00007524"/>
    <w:rsid w:val="00010F3C"/>
    <w:rsid w:val="000300BD"/>
    <w:rsid w:val="0003035B"/>
    <w:rsid w:val="000304E0"/>
    <w:rsid w:val="00032960"/>
    <w:rsid w:val="00034195"/>
    <w:rsid w:val="00041B34"/>
    <w:rsid w:val="00041BB5"/>
    <w:rsid w:val="000449F1"/>
    <w:rsid w:val="00045642"/>
    <w:rsid w:val="00051E25"/>
    <w:rsid w:val="000531B3"/>
    <w:rsid w:val="00053BE6"/>
    <w:rsid w:val="00055A2D"/>
    <w:rsid w:val="0006013E"/>
    <w:rsid w:val="0006125C"/>
    <w:rsid w:val="000615F7"/>
    <w:rsid w:val="00062C3C"/>
    <w:rsid w:val="00081B02"/>
    <w:rsid w:val="00081F84"/>
    <w:rsid w:val="000872C1"/>
    <w:rsid w:val="00097E49"/>
    <w:rsid w:val="000A0CBD"/>
    <w:rsid w:val="000A4EE1"/>
    <w:rsid w:val="000B6DF2"/>
    <w:rsid w:val="000C1675"/>
    <w:rsid w:val="000C5A42"/>
    <w:rsid w:val="000D18C5"/>
    <w:rsid w:val="000D5DDD"/>
    <w:rsid w:val="000D7051"/>
    <w:rsid w:val="000D7C10"/>
    <w:rsid w:val="000F7BA4"/>
    <w:rsid w:val="001043B9"/>
    <w:rsid w:val="0011075B"/>
    <w:rsid w:val="001118B1"/>
    <w:rsid w:val="00114DA1"/>
    <w:rsid w:val="00117B43"/>
    <w:rsid w:val="00121A3A"/>
    <w:rsid w:val="00121C27"/>
    <w:rsid w:val="00123FFD"/>
    <w:rsid w:val="00130672"/>
    <w:rsid w:val="00144A58"/>
    <w:rsid w:val="0015320F"/>
    <w:rsid w:val="00157697"/>
    <w:rsid w:val="0016053F"/>
    <w:rsid w:val="00162FCA"/>
    <w:rsid w:val="00163931"/>
    <w:rsid w:val="001709B2"/>
    <w:rsid w:val="0017366E"/>
    <w:rsid w:val="00175F71"/>
    <w:rsid w:val="001937D9"/>
    <w:rsid w:val="001B3F6F"/>
    <w:rsid w:val="001B5B2E"/>
    <w:rsid w:val="001B7F09"/>
    <w:rsid w:val="001D63AC"/>
    <w:rsid w:val="001E0889"/>
    <w:rsid w:val="001E3D75"/>
    <w:rsid w:val="001E7015"/>
    <w:rsid w:val="001F6E2B"/>
    <w:rsid w:val="00203F36"/>
    <w:rsid w:val="002059F2"/>
    <w:rsid w:val="002104E0"/>
    <w:rsid w:val="00216798"/>
    <w:rsid w:val="00216BE2"/>
    <w:rsid w:val="002177C1"/>
    <w:rsid w:val="00224082"/>
    <w:rsid w:val="00232A91"/>
    <w:rsid w:val="002364CB"/>
    <w:rsid w:val="0024119E"/>
    <w:rsid w:val="002414A2"/>
    <w:rsid w:val="00241ADB"/>
    <w:rsid w:val="002546A8"/>
    <w:rsid w:val="00261F78"/>
    <w:rsid w:val="00265579"/>
    <w:rsid w:val="002A0BA5"/>
    <w:rsid w:val="002A487B"/>
    <w:rsid w:val="002B1605"/>
    <w:rsid w:val="002B2924"/>
    <w:rsid w:val="002B3295"/>
    <w:rsid w:val="002B7927"/>
    <w:rsid w:val="002D0220"/>
    <w:rsid w:val="002D51F3"/>
    <w:rsid w:val="002E1DA5"/>
    <w:rsid w:val="002E3244"/>
    <w:rsid w:val="002E51D0"/>
    <w:rsid w:val="002F1D92"/>
    <w:rsid w:val="002F1E2C"/>
    <w:rsid w:val="002F4711"/>
    <w:rsid w:val="002F54BA"/>
    <w:rsid w:val="002F5F93"/>
    <w:rsid w:val="002F6AA6"/>
    <w:rsid w:val="00310CAB"/>
    <w:rsid w:val="003143FC"/>
    <w:rsid w:val="0031483C"/>
    <w:rsid w:val="00326074"/>
    <w:rsid w:val="003304B2"/>
    <w:rsid w:val="00331D8B"/>
    <w:rsid w:val="00332EB0"/>
    <w:rsid w:val="003364F6"/>
    <w:rsid w:val="0033681D"/>
    <w:rsid w:val="00342AE8"/>
    <w:rsid w:val="00347708"/>
    <w:rsid w:val="003662F6"/>
    <w:rsid w:val="003802F3"/>
    <w:rsid w:val="00385316"/>
    <w:rsid w:val="00391C6F"/>
    <w:rsid w:val="003A5DAA"/>
    <w:rsid w:val="003A76DF"/>
    <w:rsid w:val="003B1364"/>
    <w:rsid w:val="003B3A4F"/>
    <w:rsid w:val="003B4382"/>
    <w:rsid w:val="003B7272"/>
    <w:rsid w:val="003C2484"/>
    <w:rsid w:val="003C4F39"/>
    <w:rsid w:val="003D2A94"/>
    <w:rsid w:val="003D3AB1"/>
    <w:rsid w:val="003E57FF"/>
    <w:rsid w:val="003F4198"/>
    <w:rsid w:val="003F4C39"/>
    <w:rsid w:val="003F6FFB"/>
    <w:rsid w:val="00404A19"/>
    <w:rsid w:val="00407C36"/>
    <w:rsid w:val="0041098D"/>
    <w:rsid w:val="00414DEA"/>
    <w:rsid w:val="00417D76"/>
    <w:rsid w:val="004355A0"/>
    <w:rsid w:val="0045493D"/>
    <w:rsid w:val="00477779"/>
    <w:rsid w:val="004823A5"/>
    <w:rsid w:val="00483FA6"/>
    <w:rsid w:val="00490B38"/>
    <w:rsid w:val="004A383B"/>
    <w:rsid w:val="004A5C54"/>
    <w:rsid w:val="004A6294"/>
    <w:rsid w:val="004C2901"/>
    <w:rsid w:val="004C49C7"/>
    <w:rsid w:val="004C6078"/>
    <w:rsid w:val="004C6512"/>
    <w:rsid w:val="004C6905"/>
    <w:rsid w:val="004D18A7"/>
    <w:rsid w:val="004D201D"/>
    <w:rsid w:val="004E4997"/>
    <w:rsid w:val="004E7EEE"/>
    <w:rsid w:val="004F64A0"/>
    <w:rsid w:val="00525C76"/>
    <w:rsid w:val="00526BC2"/>
    <w:rsid w:val="005318A1"/>
    <w:rsid w:val="00540472"/>
    <w:rsid w:val="005410D2"/>
    <w:rsid w:val="00546411"/>
    <w:rsid w:val="00562B93"/>
    <w:rsid w:val="0057347C"/>
    <w:rsid w:val="00575FEF"/>
    <w:rsid w:val="00587B3F"/>
    <w:rsid w:val="005A1114"/>
    <w:rsid w:val="005B6C76"/>
    <w:rsid w:val="005D14FD"/>
    <w:rsid w:val="005D6D82"/>
    <w:rsid w:val="005E2E16"/>
    <w:rsid w:val="005E5271"/>
    <w:rsid w:val="005E676D"/>
    <w:rsid w:val="005F0A4D"/>
    <w:rsid w:val="005F102C"/>
    <w:rsid w:val="005F2247"/>
    <w:rsid w:val="005F39DD"/>
    <w:rsid w:val="006121AB"/>
    <w:rsid w:val="006159C6"/>
    <w:rsid w:val="00620420"/>
    <w:rsid w:val="006228B4"/>
    <w:rsid w:val="00625620"/>
    <w:rsid w:val="00625AA4"/>
    <w:rsid w:val="00635A52"/>
    <w:rsid w:val="006371D4"/>
    <w:rsid w:val="006403E0"/>
    <w:rsid w:val="00640FE7"/>
    <w:rsid w:val="00644AE8"/>
    <w:rsid w:val="00646C18"/>
    <w:rsid w:val="00650C40"/>
    <w:rsid w:val="0065330D"/>
    <w:rsid w:val="00653B6F"/>
    <w:rsid w:val="00675BAF"/>
    <w:rsid w:val="00684BD0"/>
    <w:rsid w:val="00687A1E"/>
    <w:rsid w:val="00687F87"/>
    <w:rsid w:val="006940E9"/>
    <w:rsid w:val="006A0394"/>
    <w:rsid w:val="006A2A63"/>
    <w:rsid w:val="006A2C3C"/>
    <w:rsid w:val="006A32A1"/>
    <w:rsid w:val="006B5541"/>
    <w:rsid w:val="006C4557"/>
    <w:rsid w:val="006C611E"/>
    <w:rsid w:val="006C6D55"/>
    <w:rsid w:val="006C7209"/>
    <w:rsid w:val="006C7645"/>
    <w:rsid w:val="006D1097"/>
    <w:rsid w:val="006D1807"/>
    <w:rsid w:val="006D4194"/>
    <w:rsid w:val="006D4972"/>
    <w:rsid w:val="006D6862"/>
    <w:rsid w:val="006D7D66"/>
    <w:rsid w:val="006D7F7B"/>
    <w:rsid w:val="006E3ED4"/>
    <w:rsid w:val="00706591"/>
    <w:rsid w:val="00711079"/>
    <w:rsid w:val="00712613"/>
    <w:rsid w:val="00713CB5"/>
    <w:rsid w:val="007201D0"/>
    <w:rsid w:val="007236C0"/>
    <w:rsid w:val="00724343"/>
    <w:rsid w:val="00724788"/>
    <w:rsid w:val="00725D9D"/>
    <w:rsid w:val="00726582"/>
    <w:rsid w:val="0073004C"/>
    <w:rsid w:val="00730883"/>
    <w:rsid w:val="007310C6"/>
    <w:rsid w:val="00732522"/>
    <w:rsid w:val="00744D7A"/>
    <w:rsid w:val="00755E57"/>
    <w:rsid w:val="007574CF"/>
    <w:rsid w:val="00765201"/>
    <w:rsid w:val="00765397"/>
    <w:rsid w:val="0077287E"/>
    <w:rsid w:val="00784B97"/>
    <w:rsid w:val="0079047E"/>
    <w:rsid w:val="007A7E35"/>
    <w:rsid w:val="007B2323"/>
    <w:rsid w:val="007B4DC7"/>
    <w:rsid w:val="007C2F67"/>
    <w:rsid w:val="007E4B18"/>
    <w:rsid w:val="007E6586"/>
    <w:rsid w:val="007E790F"/>
    <w:rsid w:val="007F0365"/>
    <w:rsid w:val="007F5116"/>
    <w:rsid w:val="007F74DA"/>
    <w:rsid w:val="00801D04"/>
    <w:rsid w:val="00802390"/>
    <w:rsid w:val="00816B3E"/>
    <w:rsid w:val="0081782B"/>
    <w:rsid w:val="00823BDA"/>
    <w:rsid w:val="0082603A"/>
    <w:rsid w:val="00827E68"/>
    <w:rsid w:val="00840722"/>
    <w:rsid w:val="00846A4C"/>
    <w:rsid w:val="00860174"/>
    <w:rsid w:val="00862C8F"/>
    <w:rsid w:val="00876E69"/>
    <w:rsid w:val="0088232D"/>
    <w:rsid w:val="00883D2C"/>
    <w:rsid w:val="008841BA"/>
    <w:rsid w:val="00890D80"/>
    <w:rsid w:val="00897839"/>
    <w:rsid w:val="008A6677"/>
    <w:rsid w:val="008B017D"/>
    <w:rsid w:val="008B43B8"/>
    <w:rsid w:val="008B609B"/>
    <w:rsid w:val="008D3F84"/>
    <w:rsid w:val="008E01D1"/>
    <w:rsid w:val="008E70C7"/>
    <w:rsid w:val="008F1A8F"/>
    <w:rsid w:val="008F3D8B"/>
    <w:rsid w:val="008F5D68"/>
    <w:rsid w:val="008F5D8D"/>
    <w:rsid w:val="00904146"/>
    <w:rsid w:val="0090630E"/>
    <w:rsid w:val="00910EC9"/>
    <w:rsid w:val="00927318"/>
    <w:rsid w:val="00927CC8"/>
    <w:rsid w:val="0093341F"/>
    <w:rsid w:val="009360D1"/>
    <w:rsid w:val="00942B06"/>
    <w:rsid w:val="00951FE8"/>
    <w:rsid w:val="00970193"/>
    <w:rsid w:val="0097075B"/>
    <w:rsid w:val="00973EBA"/>
    <w:rsid w:val="009770DB"/>
    <w:rsid w:val="00981418"/>
    <w:rsid w:val="00987FAD"/>
    <w:rsid w:val="00997A61"/>
    <w:rsid w:val="009A27C8"/>
    <w:rsid w:val="009C4389"/>
    <w:rsid w:val="009D390F"/>
    <w:rsid w:val="009D7328"/>
    <w:rsid w:val="009E1EF8"/>
    <w:rsid w:val="009E2786"/>
    <w:rsid w:val="009E5758"/>
    <w:rsid w:val="009F56E6"/>
    <w:rsid w:val="009F6A16"/>
    <w:rsid w:val="00A063C9"/>
    <w:rsid w:val="00A142B9"/>
    <w:rsid w:val="00A17DC1"/>
    <w:rsid w:val="00A23257"/>
    <w:rsid w:val="00A30D51"/>
    <w:rsid w:val="00A3135E"/>
    <w:rsid w:val="00A37501"/>
    <w:rsid w:val="00A44CD4"/>
    <w:rsid w:val="00A5292D"/>
    <w:rsid w:val="00A73EC1"/>
    <w:rsid w:val="00A757F7"/>
    <w:rsid w:val="00A77A11"/>
    <w:rsid w:val="00A82A15"/>
    <w:rsid w:val="00A82BC4"/>
    <w:rsid w:val="00A83310"/>
    <w:rsid w:val="00A86B3D"/>
    <w:rsid w:val="00A91922"/>
    <w:rsid w:val="00A9646A"/>
    <w:rsid w:val="00AA5761"/>
    <w:rsid w:val="00AB217F"/>
    <w:rsid w:val="00AB570A"/>
    <w:rsid w:val="00AB7A3A"/>
    <w:rsid w:val="00AC5834"/>
    <w:rsid w:val="00AD09B3"/>
    <w:rsid w:val="00AD36B4"/>
    <w:rsid w:val="00AD4455"/>
    <w:rsid w:val="00AE366A"/>
    <w:rsid w:val="00AE4DBB"/>
    <w:rsid w:val="00AE7461"/>
    <w:rsid w:val="00AE7DE1"/>
    <w:rsid w:val="00AF23A6"/>
    <w:rsid w:val="00AF3C26"/>
    <w:rsid w:val="00AF4A2F"/>
    <w:rsid w:val="00AF60FD"/>
    <w:rsid w:val="00AF6E9D"/>
    <w:rsid w:val="00AF7002"/>
    <w:rsid w:val="00AF7E0B"/>
    <w:rsid w:val="00B01DA5"/>
    <w:rsid w:val="00B14CDD"/>
    <w:rsid w:val="00B200FA"/>
    <w:rsid w:val="00B276BD"/>
    <w:rsid w:val="00B34641"/>
    <w:rsid w:val="00B35F89"/>
    <w:rsid w:val="00B3788D"/>
    <w:rsid w:val="00B378C0"/>
    <w:rsid w:val="00B57B14"/>
    <w:rsid w:val="00B65F5A"/>
    <w:rsid w:val="00B66BF2"/>
    <w:rsid w:val="00B7154D"/>
    <w:rsid w:val="00B73715"/>
    <w:rsid w:val="00B8096A"/>
    <w:rsid w:val="00B837BD"/>
    <w:rsid w:val="00B86C60"/>
    <w:rsid w:val="00B95636"/>
    <w:rsid w:val="00B96E41"/>
    <w:rsid w:val="00B97DAB"/>
    <w:rsid w:val="00BA1093"/>
    <w:rsid w:val="00BA2B4B"/>
    <w:rsid w:val="00BA47E7"/>
    <w:rsid w:val="00BA6D88"/>
    <w:rsid w:val="00BA7540"/>
    <w:rsid w:val="00BB0386"/>
    <w:rsid w:val="00BB118B"/>
    <w:rsid w:val="00BB34E8"/>
    <w:rsid w:val="00BB67B3"/>
    <w:rsid w:val="00BC748C"/>
    <w:rsid w:val="00BD04E8"/>
    <w:rsid w:val="00BE6433"/>
    <w:rsid w:val="00BF1041"/>
    <w:rsid w:val="00BF4123"/>
    <w:rsid w:val="00C01A3C"/>
    <w:rsid w:val="00C02151"/>
    <w:rsid w:val="00C10DA4"/>
    <w:rsid w:val="00C23F7E"/>
    <w:rsid w:val="00C30657"/>
    <w:rsid w:val="00C33FD7"/>
    <w:rsid w:val="00C358EA"/>
    <w:rsid w:val="00C5185C"/>
    <w:rsid w:val="00C5345C"/>
    <w:rsid w:val="00C55C21"/>
    <w:rsid w:val="00C64AF7"/>
    <w:rsid w:val="00C71937"/>
    <w:rsid w:val="00C839E5"/>
    <w:rsid w:val="00C875BB"/>
    <w:rsid w:val="00C90BFD"/>
    <w:rsid w:val="00C9142E"/>
    <w:rsid w:val="00C970A1"/>
    <w:rsid w:val="00CA0E36"/>
    <w:rsid w:val="00CA15B9"/>
    <w:rsid w:val="00CA2DDE"/>
    <w:rsid w:val="00CA3C16"/>
    <w:rsid w:val="00CB74AD"/>
    <w:rsid w:val="00CD6450"/>
    <w:rsid w:val="00CD7C8C"/>
    <w:rsid w:val="00CD7DF1"/>
    <w:rsid w:val="00CE0F9D"/>
    <w:rsid w:val="00D05DED"/>
    <w:rsid w:val="00D07B14"/>
    <w:rsid w:val="00D10EE8"/>
    <w:rsid w:val="00D14C73"/>
    <w:rsid w:val="00D2144B"/>
    <w:rsid w:val="00D25DC6"/>
    <w:rsid w:val="00D35717"/>
    <w:rsid w:val="00D37CE7"/>
    <w:rsid w:val="00D40911"/>
    <w:rsid w:val="00D45309"/>
    <w:rsid w:val="00D474D8"/>
    <w:rsid w:val="00D57C84"/>
    <w:rsid w:val="00D620E5"/>
    <w:rsid w:val="00D62EA5"/>
    <w:rsid w:val="00D67C08"/>
    <w:rsid w:val="00D864E6"/>
    <w:rsid w:val="00D91EF9"/>
    <w:rsid w:val="00D94682"/>
    <w:rsid w:val="00DA0018"/>
    <w:rsid w:val="00DA013E"/>
    <w:rsid w:val="00DA528D"/>
    <w:rsid w:val="00DB4C69"/>
    <w:rsid w:val="00DB7C6F"/>
    <w:rsid w:val="00DC6E2F"/>
    <w:rsid w:val="00DD1E72"/>
    <w:rsid w:val="00DD7056"/>
    <w:rsid w:val="00DE2A42"/>
    <w:rsid w:val="00DE4A97"/>
    <w:rsid w:val="00DF4C09"/>
    <w:rsid w:val="00E013A4"/>
    <w:rsid w:val="00E14890"/>
    <w:rsid w:val="00E2325A"/>
    <w:rsid w:val="00E3082F"/>
    <w:rsid w:val="00E3540D"/>
    <w:rsid w:val="00E43943"/>
    <w:rsid w:val="00E62D28"/>
    <w:rsid w:val="00E66603"/>
    <w:rsid w:val="00E67C19"/>
    <w:rsid w:val="00E70C4A"/>
    <w:rsid w:val="00E92298"/>
    <w:rsid w:val="00EB1858"/>
    <w:rsid w:val="00EB41C0"/>
    <w:rsid w:val="00EC0334"/>
    <w:rsid w:val="00ED23F6"/>
    <w:rsid w:val="00EE1A7A"/>
    <w:rsid w:val="00EE3B54"/>
    <w:rsid w:val="00EF0F12"/>
    <w:rsid w:val="00EF10C3"/>
    <w:rsid w:val="00EF544F"/>
    <w:rsid w:val="00EF6669"/>
    <w:rsid w:val="00F043B4"/>
    <w:rsid w:val="00F078C6"/>
    <w:rsid w:val="00F12ADE"/>
    <w:rsid w:val="00F13350"/>
    <w:rsid w:val="00F13E82"/>
    <w:rsid w:val="00F20141"/>
    <w:rsid w:val="00F21512"/>
    <w:rsid w:val="00F25065"/>
    <w:rsid w:val="00F31EF4"/>
    <w:rsid w:val="00F3325F"/>
    <w:rsid w:val="00F5146F"/>
    <w:rsid w:val="00F51877"/>
    <w:rsid w:val="00F5647E"/>
    <w:rsid w:val="00F57474"/>
    <w:rsid w:val="00F74AE1"/>
    <w:rsid w:val="00F81939"/>
    <w:rsid w:val="00F95BB5"/>
    <w:rsid w:val="00F960B7"/>
    <w:rsid w:val="00FA2AA6"/>
    <w:rsid w:val="00FA36E2"/>
    <w:rsid w:val="00FB5CA3"/>
    <w:rsid w:val="00FC1897"/>
    <w:rsid w:val="00FC3950"/>
    <w:rsid w:val="00FC4BE9"/>
    <w:rsid w:val="00FC5438"/>
    <w:rsid w:val="00FD4A16"/>
    <w:rsid w:val="00FD6315"/>
    <w:rsid w:val="00FE3927"/>
    <w:rsid w:val="00FF0A60"/>
    <w:rsid w:val="00FF4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66FA1"/>
  <w15:docId w15:val="{3C8E49DE-A98A-47C1-9AE4-1C3BC1A6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F67"/>
    <w:rPr>
      <w:sz w:val="24"/>
      <w:szCs w:val="24"/>
    </w:rPr>
  </w:style>
  <w:style w:type="paragraph" w:styleId="Titre1">
    <w:name w:val="heading 1"/>
    <w:basedOn w:val="Normal"/>
    <w:next w:val="Normal"/>
    <w:qFormat/>
    <w:rsid w:val="00045642"/>
    <w:pPr>
      <w:keepNext/>
      <w:numPr>
        <w:numId w:val="1"/>
      </w:numPr>
      <w:shd w:val="clear" w:color="auto" w:fill="8DB3E2" w:themeFill="text2" w:themeFillTint="66"/>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unhideWhenUsed/>
    <w:qFormat/>
    <w:rsid w:val="00BB118B"/>
    <w:pPr>
      <w:keepNext/>
      <w:keepLines/>
      <w:numPr>
        <w:ilvl w:val="1"/>
        <w:numId w:val="1"/>
      </w:numPr>
      <w:shd w:val="clear" w:color="auto" w:fill="E5B8B7" w:themeFill="accent2" w:themeFillTint="66"/>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nhideWhenUsed/>
    <w:qFormat/>
    <w:rsid w:val="00D35717"/>
    <w:pPr>
      <w:keepNext/>
      <w:keepLines/>
      <w:numPr>
        <w:ilvl w:val="2"/>
        <w:numId w:val="1"/>
      </w:numPr>
      <w:shd w:val="clear" w:color="auto" w:fill="D6E3BC" w:themeFill="accent3" w:themeFillTint="66"/>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BB118B"/>
    <w:rPr>
      <w:rFonts w:asciiTheme="majorHAnsi" w:eastAsiaTheme="majorEastAsia" w:hAnsiTheme="majorHAnsi" w:cstheme="majorBidi"/>
      <w:b/>
      <w:bCs/>
      <w:sz w:val="26"/>
      <w:szCs w:val="26"/>
      <w:shd w:val="clear" w:color="auto" w:fill="E5B8B7" w:themeFill="accent2" w:themeFillTint="66"/>
    </w:rPr>
  </w:style>
  <w:style w:type="paragraph" w:styleId="En-tte">
    <w:name w:val="header"/>
    <w:basedOn w:val="Normal"/>
    <w:link w:val="En-tteCar"/>
    <w:uiPriority w:val="99"/>
    <w:rsid w:val="006C6D55"/>
    <w:pPr>
      <w:tabs>
        <w:tab w:val="center" w:pos="4536"/>
        <w:tab w:val="right" w:pos="9072"/>
      </w:tabs>
    </w:pPr>
  </w:style>
  <w:style w:type="character" w:customStyle="1" w:styleId="En-tteCar">
    <w:name w:val="En-tête Car"/>
    <w:basedOn w:val="Policepardfaut"/>
    <w:link w:val="En-tte"/>
    <w:uiPriority w:val="99"/>
    <w:rsid w:val="006C6D55"/>
    <w:rPr>
      <w:sz w:val="24"/>
      <w:szCs w:val="24"/>
    </w:rPr>
  </w:style>
  <w:style w:type="paragraph" w:styleId="Pieddepage">
    <w:name w:val="footer"/>
    <w:basedOn w:val="Normal"/>
    <w:link w:val="PieddepageCar"/>
    <w:uiPriority w:val="99"/>
    <w:rsid w:val="006C6D55"/>
    <w:pPr>
      <w:tabs>
        <w:tab w:val="center" w:pos="4536"/>
        <w:tab w:val="right" w:pos="9072"/>
      </w:tabs>
    </w:pPr>
  </w:style>
  <w:style w:type="character" w:customStyle="1" w:styleId="PieddepageCar">
    <w:name w:val="Pied de page Car"/>
    <w:basedOn w:val="Policepardfaut"/>
    <w:link w:val="Pieddepage"/>
    <w:uiPriority w:val="99"/>
    <w:rsid w:val="006C6D55"/>
    <w:rPr>
      <w:sz w:val="24"/>
      <w:szCs w:val="24"/>
    </w:rPr>
  </w:style>
  <w:style w:type="paragraph" w:styleId="Textedebulles">
    <w:name w:val="Balloon Text"/>
    <w:basedOn w:val="Normal"/>
    <w:link w:val="TextedebullesCar"/>
    <w:rsid w:val="006C6D55"/>
    <w:rPr>
      <w:rFonts w:ascii="Tahoma" w:hAnsi="Tahoma" w:cs="Tahoma"/>
      <w:sz w:val="16"/>
      <w:szCs w:val="16"/>
    </w:rPr>
  </w:style>
  <w:style w:type="character" w:customStyle="1" w:styleId="TextedebullesCar">
    <w:name w:val="Texte de bulles Car"/>
    <w:basedOn w:val="Policepardfaut"/>
    <w:link w:val="Textedebulles"/>
    <w:rsid w:val="006C6D55"/>
    <w:rPr>
      <w:rFonts w:ascii="Tahoma" w:hAnsi="Tahoma" w:cs="Tahoma"/>
      <w:sz w:val="16"/>
      <w:szCs w:val="16"/>
    </w:rPr>
  </w:style>
  <w:style w:type="paragraph" w:styleId="Notedebasdepage">
    <w:name w:val="footnote text"/>
    <w:basedOn w:val="Normal"/>
    <w:link w:val="NotedebasdepageCar"/>
    <w:uiPriority w:val="99"/>
    <w:rsid w:val="00987FAD"/>
    <w:rPr>
      <w:sz w:val="20"/>
      <w:szCs w:val="20"/>
    </w:rPr>
  </w:style>
  <w:style w:type="character" w:customStyle="1" w:styleId="NotedebasdepageCar">
    <w:name w:val="Note de bas de page Car"/>
    <w:basedOn w:val="Policepardfaut"/>
    <w:link w:val="Notedebasdepage"/>
    <w:uiPriority w:val="99"/>
    <w:rsid w:val="00987FAD"/>
  </w:style>
  <w:style w:type="paragraph" w:styleId="Commentaire">
    <w:name w:val="annotation text"/>
    <w:basedOn w:val="Normal"/>
    <w:link w:val="CommentaireCar"/>
    <w:rsid w:val="00987FAD"/>
    <w:rPr>
      <w:sz w:val="20"/>
      <w:szCs w:val="20"/>
    </w:rPr>
  </w:style>
  <w:style w:type="character" w:customStyle="1" w:styleId="CommentaireCar">
    <w:name w:val="Commentaire Car"/>
    <w:basedOn w:val="Policepardfaut"/>
    <w:link w:val="Commentaire"/>
    <w:rsid w:val="00987FAD"/>
  </w:style>
  <w:style w:type="character" w:styleId="Appelnotedebasdep">
    <w:name w:val="footnote reference"/>
    <w:uiPriority w:val="99"/>
    <w:rsid w:val="00987FAD"/>
    <w:rPr>
      <w:vertAlign w:val="superscript"/>
    </w:rPr>
  </w:style>
  <w:style w:type="character" w:styleId="Marquedecommentaire">
    <w:name w:val="annotation reference"/>
    <w:rsid w:val="00987FAD"/>
    <w:rPr>
      <w:sz w:val="16"/>
      <w:szCs w:val="16"/>
    </w:rPr>
  </w:style>
  <w:style w:type="paragraph" w:styleId="Objetducommentaire">
    <w:name w:val="annotation subject"/>
    <w:basedOn w:val="Commentaire"/>
    <w:next w:val="Commentaire"/>
    <w:link w:val="ObjetducommentaireCar"/>
    <w:rsid w:val="007C2F67"/>
    <w:rPr>
      <w:b/>
      <w:bCs/>
    </w:rPr>
  </w:style>
  <w:style w:type="character" w:customStyle="1" w:styleId="ObjetducommentaireCar">
    <w:name w:val="Objet du commentaire Car"/>
    <w:basedOn w:val="CommentaireCar"/>
    <w:link w:val="Objetducommentaire"/>
    <w:rsid w:val="007C2F67"/>
    <w:rPr>
      <w:b/>
      <w:bCs/>
    </w:rPr>
  </w:style>
  <w:style w:type="paragraph" w:styleId="Sansinterligne">
    <w:name w:val="No Spacing"/>
    <w:uiPriority w:val="1"/>
    <w:qFormat/>
    <w:rsid w:val="0073004C"/>
    <w:rPr>
      <w:rFonts w:ascii="Calibri" w:eastAsia="Calibri" w:hAnsi="Calibri"/>
      <w:sz w:val="22"/>
      <w:szCs w:val="22"/>
      <w:lang w:eastAsia="en-US"/>
    </w:rPr>
  </w:style>
  <w:style w:type="character" w:styleId="Lienhypertexte">
    <w:name w:val="Hyperlink"/>
    <w:basedOn w:val="Policepardfaut"/>
    <w:uiPriority w:val="99"/>
    <w:rsid w:val="0073004C"/>
    <w:rPr>
      <w:rFonts w:cs="Times New Roman"/>
      <w:color w:val="0000FF"/>
      <w:u w:val="single"/>
    </w:rPr>
  </w:style>
  <w:style w:type="paragraph" w:styleId="En-ttedetabledesmatires">
    <w:name w:val="TOC Heading"/>
    <w:basedOn w:val="Titre1"/>
    <w:next w:val="Normal"/>
    <w:uiPriority w:val="39"/>
    <w:semiHidden/>
    <w:unhideWhenUsed/>
    <w:qFormat/>
    <w:rsid w:val="0073004C"/>
    <w:pPr>
      <w:keepLines/>
      <w:shd w:val="clear" w:color="auto" w:fill="auto"/>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rsid w:val="00121A3A"/>
    <w:pPr>
      <w:tabs>
        <w:tab w:val="left" w:pos="1320"/>
        <w:tab w:val="right" w:leader="dot" w:pos="9636"/>
      </w:tabs>
      <w:spacing w:after="100"/>
    </w:pPr>
  </w:style>
  <w:style w:type="character" w:customStyle="1" w:styleId="Titre3Car">
    <w:name w:val="Titre 3 Car"/>
    <w:basedOn w:val="Policepardfaut"/>
    <w:link w:val="Titre3"/>
    <w:rsid w:val="00D35717"/>
    <w:rPr>
      <w:rFonts w:asciiTheme="majorHAnsi" w:eastAsiaTheme="majorEastAsia" w:hAnsiTheme="majorHAnsi" w:cstheme="majorBidi"/>
      <w:b/>
      <w:bCs/>
      <w:sz w:val="24"/>
      <w:szCs w:val="24"/>
      <w:shd w:val="clear" w:color="auto" w:fill="D6E3BC" w:themeFill="accent3" w:themeFillTint="66"/>
    </w:rPr>
  </w:style>
  <w:style w:type="paragraph" w:styleId="Paragraphedeliste">
    <w:name w:val="List Paragraph"/>
    <w:aliases w:val="Liste à puce niveau 1,sous titre 2,List of pictures,Bullets,References,Liste couleur - Accent 11,numération,Bullet points round,Table/Figure Heading,bk paragraph,lp1,Bullet List,FooterText,numbered,List Paragraph1,Dot pt,No Spacing1"/>
    <w:basedOn w:val="Normal"/>
    <w:link w:val="ParagraphedelisteCar"/>
    <w:uiPriority w:val="34"/>
    <w:qFormat/>
    <w:rsid w:val="00BB118B"/>
    <w:pPr>
      <w:spacing w:after="60" w:line="276" w:lineRule="auto"/>
      <w:ind w:left="720"/>
      <w:contextualSpacing/>
      <w:jc w:val="both"/>
    </w:pPr>
    <w:rPr>
      <w:rFonts w:ascii="Calibri" w:eastAsia="Calibri" w:hAnsi="Calibri"/>
      <w:sz w:val="22"/>
      <w:szCs w:val="22"/>
      <w:lang w:eastAsia="en-US"/>
    </w:rPr>
  </w:style>
  <w:style w:type="paragraph" w:styleId="Corpsdetexte">
    <w:name w:val="Body Text"/>
    <w:aliases w:val="Body Text1,Body Text2,Body Text11,Body Text3,Body Text4,body text,Body,contents,bt,body tesx,Texto independiente,body,Viñeta,heading_txt,bodytxy2,Body Text - Level 2"/>
    <w:basedOn w:val="Normal"/>
    <w:link w:val="CorpsdetexteCar"/>
    <w:uiPriority w:val="99"/>
    <w:rsid w:val="00BB118B"/>
    <w:pPr>
      <w:jc w:val="both"/>
    </w:pPr>
    <w:rPr>
      <w:rFonts w:eastAsia="Calibri"/>
      <w:sz w:val="22"/>
      <w:szCs w:val="22"/>
    </w:rPr>
  </w:style>
  <w:style w:type="character" w:customStyle="1" w:styleId="CorpsdetexteCar">
    <w:name w:val="Corps de texte Car"/>
    <w:aliases w:val="Body Text1 Car,Body Text2 Car,Body Text11 Car,Body Text3 Car,Body Text4 Car,body text Car,Body Car,contents Car,bt Car,body tesx Car,Texto independiente Car,body Car,Viñeta Car,heading_txt Car,bodytxy2 Car,Body Text - Level 2 Car"/>
    <w:basedOn w:val="Policepardfaut"/>
    <w:link w:val="Corpsdetexte"/>
    <w:uiPriority w:val="99"/>
    <w:rsid w:val="00BB118B"/>
    <w:rPr>
      <w:rFonts w:eastAsia="Calibri"/>
      <w:sz w:val="22"/>
      <w:szCs w:val="22"/>
    </w:rPr>
  </w:style>
  <w:style w:type="paragraph" w:styleId="TM3">
    <w:name w:val="toc 3"/>
    <w:basedOn w:val="Normal"/>
    <w:next w:val="Normal"/>
    <w:autoRedefine/>
    <w:uiPriority w:val="39"/>
    <w:rsid w:val="00DD7056"/>
    <w:pPr>
      <w:spacing w:after="100"/>
      <w:ind w:left="480"/>
    </w:pPr>
  </w:style>
  <w:style w:type="paragraph" w:styleId="TM2">
    <w:name w:val="toc 2"/>
    <w:basedOn w:val="Normal"/>
    <w:next w:val="Normal"/>
    <w:autoRedefine/>
    <w:uiPriority w:val="39"/>
    <w:rsid w:val="00DD7056"/>
    <w:pPr>
      <w:spacing w:after="100"/>
      <w:ind w:left="240"/>
    </w:pPr>
  </w:style>
  <w:style w:type="paragraph" w:customStyle="1" w:styleId="TITRE10">
    <w:name w:val="TITRE1"/>
    <w:basedOn w:val="Normal"/>
    <w:rsid w:val="002B7927"/>
    <w:pPr>
      <w:jc w:val="both"/>
    </w:pPr>
    <w:rPr>
      <w:rFonts w:ascii="Univers" w:hAnsi="Univers"/>
      <w:b/>
      <w:bCs/>
      <w:sz w:val="28"/>
      <w:szCs w:val="28"/>
      <w:lang w:eastAsia="en-US"/>
    </w:rPr>
  </w:style>
  <w:style w:type="paragraph" w:customStyle="1" w:styleId="1Car">
    <w:name w:val="1 Car"/>
    <w:basedOn w:val="Normal"/>
    <w:rsid w:val="002B7927"/>
    <w:pPr>
      <w:spacing w:after="160" w:line="240" w:lineRule="exact"/>
      <w:jc w:val="both"/>
    </w:pPr>
    <w:rPr>
      <w:rFonts w:ascii="Tahoma" w:hAnsi="Tahoma"/>
      <w:color w:val="000000"/>
      <w:sz w:val="20"/>
      <w:szCs w:val="20"/>
      <w:lang w:eastAsia="en-US"/>
    </w:rPr>
  </w:style>
  <w:style w:type="paragraph" w:styleId="Liste">
    <w:name w:val="List"/>
    <w:basedOn w:val="Normal"/>
    <w:rsid w:val="00114DA1"/>
    <w:pPr>
      <w:ind w:left="283" w:hanging="283"/>
    </w:pPr>
    <w:rPr>
      <w:sz w:val="20"/>
      <w:szCs w:val="20"/>
      <w:lang w:eastAsia="en-US"/>
    </w:rPr>
  </w:style>
  <w:style w:type="paragraph" w:styleId="NormalWeb">
    <w:name w:val="Normal (Web)"/>
    <w:basedOn w:val="Normal"/>
    <w:uiPriority w:val="99"/>
    <w:unhideWhenUsed/>
    <w:rsid w:val="00F21512"/>
    <w:pPr>
      <w:spacing w:before="100" w:beforeAutospacing="1" w:after="100" w:afterAutospacing="1"/>
    </w:pPr>
  </w:style>
  <w:style w:type="character" w:customStyle="1" w:styleId="texttaille12">
    <w:name w:val="text_taille_12"/>
    <w:basedOn w:val="Policepardfaut"/>
    <w:rsid w:val="00F21512"/>
  </w:style>
  <w:style w:type="character" w:styleId="lev">
    <w:name w:val="Strong"/>
    <w:basedOn w:val="Policepardfaut"/>
    <w:uiPriority w:val="22"/>
    <w:qFormat/>
    <w:rsid w:val="00F21512"/>
    <w:rPr>
      <w:b/>
      <w:bCs/>
    </w:rPr>
  </w:style>
  <w:style w:type="character" w:customStyle="1" w:styleId="mainsitecolor">
    <w:name w:val="main_site_color"/>
    <w:basedOn w:val="Policepardfaut"/>
    <w:rsid w:val="00F21512"/>
  </w:style>
  <w:style w:type="paragraph" w:styleId="Rvision">
    <w:name w:val="Revision"/>
    <w:hidden/>
    <w:uiPriority w:val="99"/>
    <w:semiHidden/>
    <w:rsid w:val="006371D4"/>
    <w:rPr>
      <w:sz w:val="24"/>
      <w:szCs w:val="24"/>
    </w:rPr>
  </w:style>
  <w:style w:type="paragraph" w:styleId="Retraitnormal">
    <w:name w:val="Normal Indent"/>
    <w:basedOn w:val="Normal"/>
    <w:rsid w:val="00D45309"/>
    <w:pPr>
      <w:ind w:left="708"/>
      <w:jc w:val="both"/>
    </w:pPr>
    <w:rPr>
      <w:rFonts w:ascii="Arial" w:hAnsi="Arial"/>
      <w:szCs w:val="20"/>
    </w:rPr>
  </w:style>
  <w:style w:type="character" w:customStyle="1" w:styleId="ParagraphedelisteCar">
    <w:name w:val="Paragraphe de liste Car"/>
    <w:aliases w:val="Liste à puce niveau 1 Car,sous titre 2 Car,List of pictures Car,Bullets Car,References Car,Liste couleur - Accent 11 Car,numération Car,Bullet points round Car,Table/Figure Heading Car,bk paragraph Car,lp1 Car,Bullet List Car"/>
    <w:basedOn w:val="Policepardfaut"/>
    <w:link w:val="Paragraphedeliste"/>
    <w:uiPriority w:val="99"/>
    <w:qFormat/>
    <w:rsid w:val="00D9468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31795">
      <w:bodyDiv w:val="1"/>
      <w:marLeft w:val="0"/>
      <w:marRight w:val="0"/>
      <w:marTop w:val="0"/>
      <w:marBottom w:val="0"/>
      <w:divBdr>
        <w:top w:val="none" w:sz="0" w:space="0" w:color="auto"/>
        <w:left w:val="none" w:sz="0" w:space="0" w:color="auto"/>
        <w:bottom w:val="none" w:sz="0" w:space="0" w:color="auto"/>
        <w:right w:val="none" w:sz="0" w:space="0" w:color="auto"/>
      </w:divBdr>
    </w:div>
    <w:div w:id="336537932">
      <w:bodyDiv w:val="1"/>
      <w:marLeft w:val="0"/>
      <w:marRight w:val="0"/>
      <w:marTop w:val="0"/>
      <w:marBottom w:val="0"/>
      <w:divBdr>
        <w:top w:val="none" w:sz="0" w:space="0" w:color="auto"/>
        <w:left w:val="none" w:sz="0" w:space="0" w:color="auto"/>
        <w:bottom w:val="none" w:sz="0" w:space="0" w:color="auto"/>
        <w:right w:val="none" w:sz="0" w:space="0" w:color="auto"/>
      </w:divBdr>
    </w:div>
    <w:div w:id="390736136">
      <w:bodyDiv w:val="1"/>
      <w:marLeft w:val="0"/>
      <w:marRight w:val="0"/>
      <w:marTop w:val="0"/>
      <w:marBottom w:val="0"/>
      <w:divBdr>
        <w:top w:val="none" w:sz="0" w:space="0" w:color="auto"/>
        <w:left w:val="none" w:sz="0" w:space="0" w:color="auto"/>
        <w:bottom w:val="none" w:sz="0" w:space="0" w:color="auto"/>
        <w:right w:val="none" w:sz="0" w:space="0" w:color="auto"/>
      </w:divBdr>
    </w:div>
    <w:div w:id="454450810">
      <w:bodyDiv w:val="1"/>
      <w:marLeft w:val="0"/>
      <w:marRight w:val="0"/>
      <w:marTop w:val="0"/>
      <w:marBottom w:val="0"/>
      <w:divBdr>
        <w:top w:val="none" w:sz="0" w:space="0" w:color="auto"/>
        <w:left w:val="none" w:sz="0" w:space="0" w:color="auto"/>
        <w:bottom w:val="none" w:sz="0" w:space="0" w:color="auto"/>
        <w:right w:val="none" w:sz="0" w:space="0" w:color="auto"/>
      </w:divBdr>
    </w:div>
    <w:div w:id="470370478">
      <w:bodyDiv w:val="1"/>
      <w:marLeft w:val="0"/>
      <w:marRight w:val="0"/>
      <w:marTop w:val="0"/>
      <w:marBottom w:val="0"/>
      <w:divBdr>
        <w:top w:val="none" w:sz="0" w:space="0" w:color="auto"/>
        <w:left w:val="none" w:sz="0" w:space="0" w:color="auto"/>
        <w:bottom w:val="none" w:sz="0" w:space="0" w:color="auto"/>
        <w:right w:val="none" w:sz="0" w:space="0" w:color="auto"/>
      </w:divBdr>
    </w:div>
    <w:div w:id="696391631">
      <w:bodyDiv w:val="1"/>
      <w:marLeft w:val="0"/>
      <w:marRight w:val="0"/>
      <w:marTop w:val="0"/>
      <w:marBottom w:val="0"/>
      <w:divBdr>
        <w:top w:val="none" w:sz="0" w:space="0" w:color="auto"/>
        <w:left w:val="none" w:sz="0" w:space="0" w:color="auto"/>
        <w:bottom w:val="none" w:sz="0" w:space="0" w:color="auto"/>
        <w:right w:val="none" w:sz="0" w:space="0" w:color="auto"/>
      </w:divBdr>
    </w:div>
    <w:div w:id="752900961">
      <w:bodyDiv w:val="1"/>
      <w:marLeft w:val="0"/>
      <w:marRight w:val="0"/>
      <w:marTop w:val="0"/>
      <w:marBottom w:val="0"/>
      <w:divBdr>
        <w:top w:val="none" w:sz="0" w:space="0" w:color="auto"/>
        <w:left w:val="none" w:sz="0" w:space="0" w:color="auto"/>
        <w:bottom w:val="none" w:sz="0" w:space="0" w:color="auto"/>
        <w:right w:val="none" w:sz="0" w:space="0" w:color="auto"/>
      </w:divBdr>
    </w:div>
    <w:div w:id="796873297">
      <w:bodyDiv w:val="1"/>
      <w:marLeft w:val="0"/>
      <w:marRight w:val="0"/>
      <w:marTop w:val="0"/>
      <w:marBottom w:val="0"/>
      <w:divBdr>
        <w:top w:val="none" w:sz="0" w:space="0" w:color="auto"/>
        <w:left w:val="none" w:sz="0" w:space="0" w:color="auto"/>
        <w:bottom w:val="none" w:sz="0" w:space="0" w:color="auto"/>
        <w:right w:val="none" w:sz="0" w:space="0" w:color="auto"/>
      </w:divBdr>
    </w:div>
    <w:div w:id="974457260">
      <w:bodyDiv w:val="1"/>
      <w:marLeft w:val="0"/>
      <w:marRight w:val="0"/>
      <w:marTop w:val="0"/>
      <w:marBottom w:val="0"/>
      <w:divBdr>
        <w:top w:val="none" w:sz="0" w:space="0" w:color="auto"/>
        <w:left w:val="none" w:sz="0" w:space="0" w:color="auto"/>
        <w:bottom w:val="none" w:sz="0" w:space="0" w:color="auto"/>
        <w:right w:val="none" w:sz="0" w:space="0" w:color="auto"/>
      </w:divBdr>
    </w:div>
    <w:div w:id="1006245990">
      <w:bodyDiv w:val="1"/>
      <w:marLeft w:val="0"/>
      <w:marRight w:val="0"/>
      <w:marTop w:val="0"/>
      <w:marBottom w:val="0"/>
      <w:divBdr>
        <w:top w:val="none" w:sz="0" w:space="0" w:color="auto"/>
        <w:left w:val="none" w:sz="0" w:space="0" w:color="auto"/>
        <w:bottom w:val="none" w:sz="0" w:space="0" w:color="auto"/>
        <w:right w:val="none" w:sz="0" w:space="0" w:color="auto"/>
      </w:divBdr>
    </w:div>
    <w:div w:id="1015229267">
      <w:bodyDiv w:val="1"/>
      <w:marLeft w:val="0"/>
      <w:marRight w:val="0"/>
      <w:marTop w:val="0"/>
      <w:marBottom w:val="0"/>
      <w:divBdr>
        <w:top w:val="none" w:sz="0" w:space="0" w:color="auto"/>
        <w:left w:val="none" w:sz="0" w:space="0" w:color="auto"/>
        <w:bottom w:val="none" w:sz="0" w:space="0" w:color="auto"/>
        <w:right w:val="none" w:sz="0" w:space="0" w:color="auto"/>
      </w:divBdr>
    </w:div>
    <w:div w:id="1253852742">
      <w:bodyDiv w:val="1"/>
      <w:marLeft w:val="0"/>
      <w:marRight w:val="0"/>
      <w:marTop w:val="0"/>
      <w:marBottom w:val="0"/>
      <w:divBdr>
        <w:top w:val="none" w:sz="0" w:space="0" w:color="auto"/>
        <w:left w:val="none" w:sz="0" w:space="0" w:color="auto"/>
        <w:bottom w:val="none" w:sz="0" w:space="0" w:color="auto"/>
        <w:right w:val="none" w:sz="0" w:space="0" w:color="auto"/>
      </w:divBdr>
      <w:divsChild>
        <w:div w:id="785199319">
          <w:marLeft w:val="0"/>
          <w:marRight w:val="0"/>
          <w:marTop w:val="0"/>
          <w:marBottom w:val="0"/>
          <w:divBdr>
            <w:top w:val="none" w:sz="0" w:space="0" w:color="auto"/>
            <w:left w:val="none" w:sz="0" w:space="0" w:color="auto"/>
            <w:bottom w:val="none" w:sz="0" w:space="0" w:color="auto"/>
            <w:right w:val="none" w:sz="0" w:space="0" w:color="auto"/>
          </w:divBdr>
        </w:div>
      </w:divsChild>
    </w:div>
    <w:div w:id="1401176058">
      <w:bodyDiv w:val="1"/>
      <w:marLeft w:val="0"/>
      <w:marRight w:val="0"/>
      <w:marTop w:val="0"/>
      <w:marBottom w:val="0"/>
      <w:divBdr>
        <w:top w:val="none" w:sz="0" w:space="0" w:color="auto"/>
        <w:left w:val="none" w:sz="0" w:space="0" w:color="auto"/>
        <w:bottom w:val="none" w:sz="0" w:space="0" w:color="auto"/>
        <w:right w:val="none" w:sz="0" w:space="0" w:color="auto"/>
      </w:divBdr>
    </w:div>
    <w:div w:id="1423794333">
      <w:bodyDiv w:val="1"/>
      <w:marLeft w:val="0"/>
      <w:marRight w:val="0"/>
      <w:marTop w:val="0"/>
      <w:marBottom w:val="0"/>
      <w:divBdr>
        <w:top w:val="none" w:sz="0" w:space="0" w:color="auto"/>
        <w:left w:val="none" w:sz="0" w:space="0" w:color="auto"/>
        <w:bottom w:val="none" w:sz="0" w:space="0" w:color="auto"/>
        <w:right w:val="none" w:sz="0" w:space="0" w:color="auto"/>
      </w:divBdr>
    </w:div>
    <w:div w:id="1424569509">
      <w:bodyDiv w:val="1"/>
      <w:marLeft w:val="0"/>
      <w:marRight w:val="0"/>
      <w:marTop w:val="0"/>
      <w:marBottom w:val="0"/>
      <w:divBdr>
        <w:top w:val="none" w:sz="0" w:space="0" w:color="auto"/>
        <w:left w:val="none" w:sz="0" w:space="0" w:color="auto"/>
        <w:bottom w:val="none" w:sz="0" w:space="0" w:color="auto"/>
        <w:right w:val="none" w:sz="0" w:space="0" w:color="auto"/>
      </w:divBdr>
    </w:div>
    <w:div w:id="1508054259">
      <w:bodyDiv w:val="1"/>
      <w:marLeft w:val="0"/>
      <w:marRight w:val="0"/>
      <w:marTop w:val="0"/>
      <w:marBottom w:val="0"/>
      <w:divBdr>
        <w:top w:val="none" w:sz="0" w:space="0" w:color="auto"/>
        <w:left w:val="none" w:sz="0" w:space="0" w:color="auto"/>
        <w:bottom w:val="none" w:sz="0" w:space="0" w:color="auto"/>
        <w:right w:val="none" w:sz="0" w:space="0" w:color="auto"/>
      </w:divBdr>
    </w:div>
    <w:div w:id="1518888741">
      <w:bodyDiv w:val="1"/>
      <w:marLeft w:val="0"/>
      <w:marRight w:val="0"/>
      <w:marTop w:val="0"/>
      <w:marBottom w:val="0"/>
      <w:divBdr>
        <w:top w:val="none" w:sz="0" w:space="0" w:color="auto"/>
        <w:left w:val="none" w:sz="0" w:space="0" w:color="auto"/>
        <w:bottom w:val="none" w:sz="0" w:space="0" w:color="auto"/>
        <w:right w:val="none" w:sz="0" w:space="0" w:color="auto"/>
      </w:divBdr>
    </w:div>
    <w:div w:id="1651250299">
      <w:bodyDiv w:val="1"/>
      <w:marLeft w:val="0"/>
      <w:marRight w:val="0"/>
      <w:marTop w:val="0"/>
      <w:marBottom w:val="0"/>
      <w:divBdr>
        <w:top w:val="none" w:sz="0" w:space="0" w:color="auto"/>
        <w:left w:val="none" w:sz="0" w:space="0" w:color="auto"/>
        <w:bottom w:val="none" w:sz="0" w:space="0" w:color="auto"/>
        <w:right w:val="none" w:sz="0" w:space="0" w:color="auto"/>
      </w:divBdr>
    </w:div>
    <w:div w:id="1654019267">
      <w:bodyDiv w:val="1"/>
      <w:marLeft w:val="0"/>
      <w:marRight w:val="0"/>
      <w:marTop w:val="0"/>
      <w:marBottom w:val="0"/>
      <w:divBdr>
        <w:top w:val="none" w:sz="0" w:space="0" w:color="auto"/>
        <w:left w:val="none" w:sz="0" w:space="0" w:color="auto"/>
        <w:bottom w:val="none" w:sz="0" w:space="0" w:color="auto"/>
        <w:right w:val="none" w:sz="0" w:space="0" w:color="auto"/>
      </w:divBdr>
    </w:div>
    <w:div w:id="1675065315">
      <w:bodyDiv w:val="1"/>
      <w:marLeft w:val="0"/>
      <w:marRight w:val="0"/>
      <w:marTop w:val="0"/>
      <w:marBottom w:val="0"/>
      <w:divBdr>
        <w:top w:val="none" w:sz="0" w:space="0" w:color="auto"/>
        <w:left w:val="none" w:sz="0" w:space="0" w:color="auto"/>
        <w:bottom w:val="none" w:sz="0" w:space="0" w:color="auto"/>
        <w:right w:val="none" w:sz="0" w:space="0" w:color="auto"/>
      </w:divBdr>
    </w:div>
    <w:div w:id="1709792002">
      <w:bodyDiv w:val="1"/>
      <w:marLeft w:val="0"/>
      <w:marRight w:val="0"/>
      <w:marTop w:val="0"/>
      <w:marBottom w:val="0"/>
      <w:divBdr>
        <w:top w:val="none" w:sz="0" w:space="0" w:color="auto"/>
        <w:left w:val="none" w:sz="0" w:space="0" w:color="auto"/>
        <w:bottom w:val="none" w:sz="0" w:space="0" w:color="auto"/>
        <w:right w:val="none" w:sz="0" w:space="0" w:color="auto"/>
      </w:divBdr>
    </w:div>
    <w:div w:id="1726562425">
      <w:bodyDiv w:val="1"/>
      <w:marLeft w:val="0"/>
      <w:marRight w:val="0"/>
      <w:marTop w:val="0"/>
      <w:marBottom w:val="0"/>
      <w:divBdr>
        <w:top w:val="none" w:sz="0" w:space="0" w:color="auto"/>
        <w:left w:val="none" w:sz="0" w:space="0" w:color="auto"/>
        <w:bottom w:val="none" w:sz="0" w:space="0" w:color="auto"/>
        <w:right w:val="none" w:sz="0" w:space="0" w:color="auto"/>
      </w:divBdr>
    </w:div>
    <w:div w:id="1746805610">
      <w:bodyDiv w:val="1"/>
      <w:marLeft w:val="0"/>
      <w:marRight w:val="0"/>
      <w:marTop w:val="0"/>
      <w:marBottom w:val="0"/>
      <w:divBdr>
        <w:top w:val="none" w:sz="0" w:space="0" w:color="auto"/>
        <w:left w:val="none" w:sz="0" w:space="0" w:color="auto"/>
        <w:bottom w:val="none" w:sz="0" w:space="0" w:color="auto"/>
        <w:right w:val="none" w:sz="0" w:space="0" w:color="auto"/>
      </w:divBdr>
    </w:div>
    <w:div w:id="1912041965">
      <w:bodyDiv w:val="1"/>
      <w:marLeft w:val="0"/>
      <w:marRight w:val="0"/>
      <w:marTop w:val="0"/>
      <w:marBottom w:val="0"/>
      <w:divBdr>
        <w:top w:val="none" w:sz="0" w:space="0" w:color="auto"/>
        <w:left w:val="none" w:sz="0" w:space="0" w:color="auto"/>
        <w:bottom w:val="none" w:sz="0" w:space="0" w:color="auto"/>
        <w:right w:val="none" w:sz="0" w:space="0" w:color="auto"/>
      </w:divBdr>
    </w:div>
    <w:div w:id="2039381062">
      <w:bodyDiv w:val="1"/>
      <w:marLeft w:val="0"/>
      <w:marRight w:val="0"/>
      <w:marTop w:val="0"/>
      <w:marBottom w:val="0"/>
      <w:divBdr>
        <w:top w:val="none" w:sz="0" w:space="0" w:color="auto"/>
        <w:left w:val="none" w:sz="0" w:space="0" w:color="auto"/>
        <w:bottom w:val="none" w:sz="0" w:space="0" w:color="auto"/>
        <w:right w:val="none" w:sz="0" w:space="0" w:color="auto"/>
      </w:divBdr>
    </w:div>
    <w:div w:id="2091851517">
      <w:bodyDiv w:val="1"/>
      <w:marLeft w:val="0"/>
      <w:marRight w:val="0"/>
      <w:marTop w:val="0"/>
      <w:marBottom w:val="0"/>
      <w:divBdr>
        <w:top w:val="none" w:sz="0" w:space="0" w:color="auto"/>
        <w:left w:val="none" w:sz="0" w:space="0" w:color="auto"/>
        <w:bottom w:val="none" w:sz="0" w:space="0" w:color="auto"/>
        <w:right w:val="none" w:sz="0" w:space="0" w:color="auto"/>
      </w:divBdr>
    </w:div>
    <w:div w:id="2137484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subventions" TargetMode="External"/><Relationship Id="rId13" Type="http://schemas.openxmlformats.org/officeDocument/2006/relationships/hyperlink" Target="http://www.afd.fr/home/appui-renforcement-capacites" TargetMode="External"/><Relationship Id="rId18" Type="http://schemas.openxmlformats.org/officeDocument/2006/relationships/hyperlink" Target="https://www.tresor.economie.gouv.fr/tresor-international/la-strategie-francaise-d-aide-au-commerce-au-service-d-un-commerce-international-plus-durable-et-inclusi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fd.fr/home/appui-renforcement-capacites" TargetMode="External"/><Relationship Id="rId17" Type="http://schemas.openxmlformats.org/officeDocument/2006/relationships/hyperlink" Target="http://www.afd.fr" TargetMode="External"/><Relationship Id="rId2" Type="http://schemas.openxmlformats.org/officeDocument/2006/relationships/numbering" Target="numbering.xml"/><Relationship Id="rId16" Type="http://schemas.openxmlformats.org/officeDocument/2006/relationships/hyperlink" Target="http://www.expertisefrance.fr" TargetMode="External"/><Relationship Id="rId20" Type="http://schemas.openxmlformats.org/officeDocument/2006/relationships/hyperlink" Target="mailto:dobrostamatm@afd.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home/C2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parco.fr" TargetMode="External"/><Relationship Id="rId23" Type="http://schemas.openxmlformats.org/officeDocument/2006/relationships/fontTable" Target="fontTable.xml"/><Relationship Id="rId10" Type="http://schemas.openxmlformats.org/officeDocument/2006/relationships/hyperlink" Target="http://www.afd.fr/home/garantiesAFD" TargetMode="External"/><Relationship Id="rId19" Type="http://schemas.openxmlformats.org/officeDocument/2006/relationships/hyperlink" Target="mailto:koukouio@afd.fr" TargetMode="External"/><Relationship Id="rId4" Type="http://schemas.openxmlformats.org/officeDocument/2006/relationships/settings" Target="settings.xml"/><Relationship Id="rId9" Type="http://schemas.openxmlformats.org/officeDocument/2006/relationships/hyperlink" Target="http://www.afd.fr/home/AFD/op/edit/home/prets" TargetMode="External"/><Relationship Id="rId14" Type="http://schemas.openxmlformats.org/officeDocument/2006/relationships/hyperlink" Target="http://www.proparco.f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380BD-F57E-49A0-B2AB-9DFFAF2B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12</Pages>
  <Words>4606</Words>
  <Characters>25337</Characters>
  <Application>Microsoft Office Word</Application>
  <DocSecurity>0</DocSecurity>
  <Lines>211</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AFD</dc:creator>
  <cp:lastModifiedBy>DOBROSTAMAT Mariia</cp:lastModifiedBy>
  <cp:revision>12</cp:revision>
  <cp:lastPrinted>2025-01-24T15:05:00Z</cp:lastPrinted>
  <dcterms:created xsi:type="dcterms:W3CDTF">2025-04-10T06:11:00Z</dcterms:created>
  <dcterms:modified xsi:type="dcterms:W3CDTF">2025-10-10T18:28:00Z</dcterms:modified>
</cp:coreProperties>
</file>